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43879.xml.htm"/>
      <w:bookmarkStart w:id="1" w:name="kswkform4_17867438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CASTLEMAN PETER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CARIS LIFE 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 W. JOHN CARPENTER FREEWAY,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Caris Life 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40"/>
        <w:gridCol w:w="933"/>
        <w:gridCol w:w="803"/>
        <w:gridCol w:w="619"/>
        <w:gridCol w:w="336"/>
        <w:gridCol w:w="951"/>
        <w:gridCol w:w="400"/>
        <w:gridCol w:w="570"/>
        <w:gridCol w:w="1395"/>
        <w:gridCol w:w="947"/>
        <w:gridCol w:w="15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5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29,321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5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108,009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</w:p>
        </w:tc>
      </w:tr>
      <w:tr>
        <w:trPr/>
        <w:tc>
          <w:tcPr>
            <w:tcW w:w="17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10,546,384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CLS-PF-SPE,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which vest in accordance with the applicable grant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received in pro rata distributions exempt pursuant to Rule 16a-9.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CLS-PF-SPE Manager, LLC is the manager of CLS-PF-SPE, LLC. Mr. Castleman is a manager of CLS-PF-SPE Manager, LLC and in such capacity has voting and investment power with respect to the shares held by CLS-PF-SPE, LLC. The Reporting Person disclaims beneficial ownership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Russel Denton,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9594" TargetMode="External"/><Relationship Id="rId5" Type="http://schemas.openxmlformats.org/officeDocument/2006/relationships/hyperlink" Target="http://www.sec.gov/cgi-bin/browse-edgar?action=getcompany&amp;CIK=0002019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667</Words>
  <Characters>3621</Characters>
  <CharactersWithSpaces>4210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