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367665</wp:posOffset>
            </wp:positionV>
            <wp:extent cx="7152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389890</wp:posOffset>
            </wp:positionV>
            <wp:extent cx="71526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w:t>
      </w:r>
    </w:p>
    <w:p>
      <w:pPr>
        <w:spacing w:after="0" w:line="25"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_________________________________________</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quarterly period ended March 31, 2026</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6"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59"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For the transition period from ____ to ____</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001-42706</w:t>
      </w:r>
    </w:p>
    <w:p>
      <w:pPr>
        <w:spacing w:after="0" w:line="27"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_________________________________________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CARIS LIFE SCIENCES, INC.</w:t>
      </w: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ind w:left="3880"/>
        <w:spacing w:after="0"/>
        <w:rPr>
          <w:sz w:val="20"/>
          <w:szCs w:val="20"/>
          <w:color w:val="auto"/>
        </w:rPr>
      </w:pPr>
      <w:r>
        <w:rPr>
          <w:rFonts w:ascii="Arial" w:cs="Arial" w:eastAsia="Arial" w:hAnsi="Arial"/>
          <w:sz w:val="15"/>
          <w:szCs w:val="15"/>
          <w:b w:val="1"/>
          <w:bCs w:val="1"/>
          <w:color w:val="auto"/>
        </w:rPr>
        <w:t>_________________________________________</w:t>
      </w:r>
    </w:p>
    <w:p>
      <w:pPr>
        <w:sectPr>
          <w:pgSz w:w="11900" w:h="16838" w:orient="portrait"/>
          <w:cols w:equalWidth="0" w:num="1">
            <w:col w:w="11240"/>
          </w:cols>
          <w:pgMar w:left="320" w:top="215" w:right="3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85-2077369</w:t>
      </w:r>
    </w:p>
    <w:p>
      <w:pPr>
        <w:spacing w:after="0" w:line="66" w:lineRule="exact"/>
        <w:rPr>
          <w:sz w:val="24"/>
          <w:szCs w:val="24"/>
          <w:color w:val="auto"/>
        </w:rPr>
      </w:pPr>
    </w:p>
    <w:p>
      <w:pPr>
        <w:sectPr>
          <w:pgSz w:w="11900" w:h="16838" w:orient="portrait"/>
          <w:cols w:equalWidth="0" w:num="2">
            <w:col w:w="7320" w:space="720"/>
            <w:col w:w="3200"/>
          </w:cols>
          <w:pgMar w:left="320" w:top="215" w:right="339" w:bottom="1440" w:gutter="0" w:footer="0" w:header="0"/>
          <w:type w:val="continuous"/>
        </w:sectPr>
      </w:pPr>
    </w:p>
    <w:p>
      <w:pPr>
        <w:jc w:val="center"/>
        <w:ind w:right="960"/>
        <w:spacing w:after="0"/>
        <w:rPr>
          <w:sz w:val="20"/>
          <w:szCs w:val="20"/>
          <w:color w:val="auto"/>
        </w:rPr>
      </w:pPr>
      <w:r>
        <w:rPr>
          <w:rFonts w:ascii="Arial" w:cs="Arial" w:eastAsia="Arial" w:hAnsi="Arial"/>
          <w:sz w:val="12"/>
          <w:szCs w:val="12"/>
          <w:b w:val="1"/>
          <w:bCs w:val="1"/>
          <w:color w:val="auto"/>
        </w:rPr>
        <w:t>(State or other jurisdiction</w:t>
      </w:r>
    </w:p>
    <w:p>
      <w:pPr>
        <w:spacing w:after="0" w:line="23" w:lineRule="exact"/>
        <w:rPr>
          <w:sz w:val="24"/>
          <w:szCs w:val="24"/>
          <w:color w:val="auto"/>
        </w:rPr>
      </w:pPr>
    </w:p>
    <w:p>
      <w:pPr>
        <w:jc w:val="center"/>
        <w:ind w:right="96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255" w:lineRule="exact"/>
        <w:rPr>
          <w:sz w:val="24"/>
          <w:szCs w:val="24"/>
          <w:color w:val="auto"/>
        </w:rPr>
      </w:pPr>
    </w:p>
    <w:p>
      <w:pPr>
        <w:sectPr>
          <w:pgSz w:w="11900" w:h="16838" w:orient="portrait"/>
          <w:cols w:equalWidth="0" w:num="2">
            <w:col w:w="6580" w:space="720"/>
            <w:col w:w="3940"/>
          </w:cols>
          <w:pgMar w:left="320" w:top="215"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750 W. John Carpenter Freeway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Suite 800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Irving, TX 75039</w:t>
      </w:r>
    </w:p>
    <w:p>
      <w:pPr>
        <w:spacing w:after="0" w:line="16"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40"/>
          </w:cols>
          <w:pgMar w:left="320" w:top="215" w:right="3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(866) 771-8946</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ind w:left="3880"/>
        <w:spacing w:after="0"/>
        <w:rPr>
          <w:sz w:val="20"/>
          <w:szCs w:val="20"/>
          <w:color w:val="auto"/>
        </w:rPr>
      </w:pPr>
      <w:r>
        <w:rPr>
          <w:rFonts w:ascii="Arial" w:cs="Arial" w:eastAsia="Arial" w:hAnsi="Arial"/>
          <w:sz w:val="15"/>
          <w:szCs w:val="15"/>
          <w:b w:val="1"/>
          <w:bCs w:val="1"/>
          <w:color w:val="auto"/>
        </w:rPr>
        <w:t>_________________________________________</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56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360"/>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gridSpan w:val="2"/>
          </w:tcPr>
          <w:p>
            <w:pPr>
              <w:jc w:val="center"/>
              <w:ind w:right="880"/>
              <w:spacing w:after="0"/>
              <w:rPr>
                <w:sz w:val="20"/>
                <w:szCs w:val="20"/>
                <w:color w:val="auto"/>
              </w:rPr>
            </w:pPr>
            <w:r>
              <w:rPr>
                <w:rFonts w:ascii="Arial" w:cs="Arial" w:eastAsia="Arial" w:hAnsi="Arial"/>
                <w:sz w:val="15"/>
                <w:szCs w:val="15"/>
                <w:b w:val="1"/>
                <w:bCs w:val="1"/>
                <w:color w:val="auto"/>
                <w:w w:val="98"/>
              </w:rPr>
              <w:t>Trading</w:t>
            </w:r>
          </w:p>
        </w:tc>
        <w:tc>
          <w:tcPr>
            <w:tcW w:w="3700" w:type="dxa"/>
            <w:vAlign w:val="bottom"/>
          </w:tcPr>
          <w:p>
            <w:pPr>
              <w:spacing w:after="0"/>
              <w:rPr>
                <w:sz w:val="24"/>
                <w:szCs w:val="24"/>
                <w:color w:val="auto"/>
              </w:rPr>
            </w:pPr>
          </w:p>
        </w:tc>
      </w:tr>
      <w:tr>
        <w:trPr>
          <w:trHeight w:val="21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center"/>
              <w:ind w:right="723"/>
              <w:spacing w:after="0"/>
              <w:rPr>
                <w:sz w:val="20"/>
                <w:szCs w:val="20"/>
                <w:color w:val="auto"/>
              </w:rPr>
            </w:pPr>
            <w:r>
              <w:rPr>
                <w:rFonts w:ascii="Arial" w:cs="Arial" w:eastAsia="Arial" w:hAnsi="Arial"/>
                <w:sz w:val="15"/>
                <w:szCs w:val="15"/>
                <w:b w:val="1"/>
                <w:bCs w:val="1"/>
                <w:color w:val="auto"/>
              </w:rPr>
              <w:t>Symbol(s)</w:t>
            </w:r>
          </w:p>
        </w:tc>
        <w:tc>
          <w:tcPr>
            <w:tcW w:w="8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7"/>
        </w:trPr>
        <w:tc>
          <w:tcPr>
            <w:tcW w:w="4560" w:type="dxa"/>
            <w:vAlign w:val="bottom"/>
            <w:gridSpan w:val="3"/>
          </w:tcPr>
          <w:p>
            <w:pPr>
              <w:jc w:val="center"/>
              <w:ind w:right="880"/>
              <w:spacing w:after="0"/>
              <w:rPr>
                <w:sz w:val="20"/>
                <w:szCs w:val="20"/>
                <w:color w:val="auto"/>
              </w:rPr>
            </w:pPr>
            <w:r>
              <w:rPr>
                <w:rFonts w:ascii="Arial" w:cs="Arial" w:eastAsia="Arial" w:hAnsi="Arial"/>
                <w:sz w:val="15"/>
                <w:szCs w:val="15"/>
                <w:color w:val="auto"/>
              </w:rPr>
              <w:t>Common Stock, $0.001 par value</w:t>
            </w:r>
          </w:p>
        </w:tc>
        <w:tc>
          <w:tcPr>
            <w:tcW w:w="2980" w:type="dxa"/>
            <w:vAlign w:val="bottom"/>
            <w:gridSpan w:val="2"/>
          </w:tcPr>
          <w:p>
            <w:pPr>
              <w:jc w:val="center"/>
              <w:ind w:right="880"/>
              <w:spacing w:after="0"/>
              <w:rPr>
                <w:sz w:val="20"/>
                <w:szCs w:val="20"/>
                <w:color w:val="auto"/>
              </w:rPr>
            </w:pPr>
            <w:r>
              <w:rPr>
                <w:rFonts w:ascii="Arial" w:cs="Arial" w:eastAsia="Arial" w:hAnsi="Arial"/>
                <w:sz w:val="15"/>
                <w:szCs w:val="15"/>
                <w:color w:val="auto"/>
              </w:rPr>
              <w:t>CAI</w:t>
            </w:r>
          </w:p>
        </w:tc>
        <w:tc>
          <w:tcPr>
            <w:tcW w:w="3700" w:type="dxa"/>
            <w:vAlign w:val="bottom"/>
          </w:tcPr>
          <w:p>
            <w:pPr>
              <w:jc w:val="center"/>
              <w:spacing w:after="0"/>
              <w:rPr>
                <w:sz w:val="20"/>
                <w:szCs w:val="20"/>
                <w:color w:val="auto"/>
              </w:rPr>
            </w:pPr>
            <w:r>
              <w:rPr>
                <w:rFonts w:ascii="Arial" w:cs="Arial" w:eastAsia="Arial" w:hAnsi="Arial"/>
                <w:sz w:val="15"/>
                <w:szCs w:val="15"/>
                <w:color w:val="auto"/>
              </w:rPr>
              <w:t>The Nasdaq Stock Market LLC</w:t>
            </w:r>
          </w:p>
        </w:tc>
      </w:tr>
    </w:tbl>
    <w:p>
      <w:pPr>
        <w:spacing w:after="0" w:line="236" w:lineRule="exact"/>
        <w:rPr>
          <w:sz w:val="24"/>
          <w:szCs w:val="24"/>
          <w:color w:val="auto"/>
        </w:rPr>
      </w:pPr>
    </w:p>
    <w:p>
      <w:pPr>
        <w:ind w:right="120"/>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2" w:lineRule="exact"/>
        <w:rPr>
          <w:sz w:val="24"/>
          <w:szCs w:val="24"/>
          <w:color w:val="auto"/>
        </w:rPr>
      </w:pPr>
    </w:p>
    <w:p>
      <w:pPr>
        <w:ind w:right="20"/>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3" w:lineRule="exact"/>
        <w:rPr>
          <w:sz w:val="24"/>
          <w:szCs w:val="24"/>
          <w:color w:val="auto"/>
        </w:rPr>
      </w:pPr>
    </w:p>
    <w:p>
      <w:pPr>
        <w:ind w:right="120"/>
        <w:spacing w:after="0" w:line="27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24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3040" w:type="dxa"/>
            <w:vAlign w:val="bottom"/>
          </w:tcPr>
          <w:p>
            <w:pPr>
              <w:ind w:left="580"/>
              <w:spacing w:after="0"/>
              <w:rPr>
                <w:sz w:val="20"/>
                <w:szCs w:val="20"/>
                <w:color w:val="auto"/>
              </w:rPr>
            </w:pPr>
            <w:r>
              <w:rPr>
                <w:rFonts w:ascii="Arial" w:cs="Arial" w:eastAsia="Arial" w:hAnsi="Arial"/>
                <w:sz w:val="15"/>
                <w:szCs w:val="15"/>
                <w:color w:val="auto"/>
              </w:rPr>
              <w:t>Accelerated filer</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60" w:type="dxa"/>
            <w:vAlign w:val="bottom"/>
          </w:tcPr>
          <w:p>
            <w:pPr>
              <w:spacing w:after="0"/>
              <w:rPr>
                <w:sz w:val="20"/>
                <w:szCs w:val="20"/>
                <w:color w:val="auto"/>
              </w:rPr>
            </w:pPr>
            <w:r>
              <w:rPr>
                <w:rFonts w:ascii="Arial" w:cs="Arial" w:eastAsia="Arial" w:hAnsi="Arial"/>
                <w:sz w:val="15"/>
                <w:szCs w:val="15"/>
                <w:color w:val="auto"/>
              </w:rPr>
              <w:t>Non-accelerated filer</w:t>
            </w:r>
          </w:p>
        </w:tc>
        <w:tc>
          <w:tcPr>
            <w:tcW w:w="124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3040" w:type="dxa"/>
            <w:vAlign w:val="bottom"/>
          </w:tcPr>
          <w:p>
            <w:pPr>
              <w:ind w:left="580"/>
              <w:spacing w:after="0"/>
              <w:rPr>
                <w:sz w:val="20"/>
                <w:szCs w:val="20"/>
                <w:color w:val="auto"/>
              </w:rPr>
            </w:pPr>
            <w:r>
              <w:rPr>
                <w:rFonts w:ascii="Arial" w:cs="Arial" w:eastAsia="Arial" w:hAnsi="Arial"/>
                <w:sz w:val="15"/>
                <w:szCs w:val="15"/>
                <w:color w:val="auto"/>
              </w:rPr>
              <w:t>Smaller reporting company</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40" w:type="dxa"/>
            <w:vAlign w:val="bottom"/>
          </w:tcPr>
          <w:p>
            <w:pPr>
              <w:ind w:left="580"/>
              <w:spacing w:after="0"/>
              <w:rPr>
                <w:sz w:val="20"/>
                <w:szCs w:val="20"/>
                <w:color w:val="auto"/>
              </w:rPr>
            </w:pPr>
            <w:r>
              <w:rPr>
                <w:rFonts w:ascii="Arial" w:cs="Arial" w:eastAsia="Arial" w:hAnsi="Arial"/>
                <w:sz w:val="15"/>
                <w:szCs w:val="15"/>
                <w:color w:val="auto"/>
              </w:rPr>
              <w:t>Emerging growth company</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4" w:lineRule="exact"/>
        <w:rPr>
          <w:sz w:val="24"/>
          <w:szCs w:val="24"/>
          <w:color w:val="auto"/>
        </w:rPr>
      </w:pPr>
    </w:p>
    <w:p>
      <w:pPr>
        <w:ind w:right="220"/>
        <w:spacing w:after="0" w:line="20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6" w:lineRule="exact"/>
        <w:rPr>
          <w:sz w:val="24"/>
          <w:szCs w:val="24"/>
          <w:color w:val="auto"/>
        </w:rPr>
      </w:pPr>
    </w:p>
    <w:p>
      <w:pPr>
        <w:ind w:right="2720"/>
        <w:spacing w:after="0" w:line="29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5, 2026, the registrant had 282,680,695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781685</wp:posOffset>
            </wp:positionV>
            <wp:extent cx="717804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400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71526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145415</wp:posOffset>
            </wp:positionV>
            <wp:extent cx="71526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640" cy="698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CARIS LIFE SCIENCES,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980" w:type="dxa"/>
            <w:vAlign w:val="bottom"/>
            <w:gridSpan w:val="4"/>
          </w:tcPr>
          <w:p>
            <w:pPr>
              <w:ind w:left="160"/>
              <w:spacing w:after="0"/>
              <w:rPr>
                <w:sz w:val="20"/>
                <w:szCs w:val="20"/>
                <w:color w:val="auto"/>
              </w:rPr>
            </w:pPr>
            <w:r>
              <w:rPr>
                <w:rFonts w:ascii="Arial" w:cs="Arial" w:eastAsia="Arial" w:hAnsi="Arial"/>
                <w:sz w:val="15"/>
                <w:szCs w:val="15"/>
                <w:b w:val="1"/>
                <w:bCs w:val="1"/>
                <w:color w:val="auto"/>
              </w:rPr>
              <w:t>Page</w:t>
            </w:r>
          </w:p>
        </w:tc>
      </w:tr>
      <w:tr>
        <w:trPr>
          <w:trHeight w:val="208"/>
        </w:trPr>
        <w:tc>
          <w:tcPr>
            <w:tcW w:w="280" w:type="dxa"/>
            <w:vAlign w:val="bottom"/>
          </w:tcPr>
          <w:p>
            <w:pPr>
              <w:spacing w:after="0"/>
              <w:rPr>
                <w:sz w:val="18"/>
                <w:szCs w:val="18"/>
                <w:color w:val="auto"/>
              </w:rPr>
            </w:pPr>
          </w:p>
        </w:tc>
        <w:tc>
          <w:tcPr>
            <w:tcW w:w="10000" w:type="dxa"/>
            <w:vAlign w:val="bottom"/>
            <w:tcBorders>
              <w:top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5"/>
                <w:szCs w:val="15"/>
                <w:b w:val="1"/>
                <w:bCs w:val="1"/>
                <w:color w:val="auto"/>
              </w:rPr>
              <w:t>Special Note Regarding Forward-Looking Statements</w:t>
            </w:r>
          </w:p>
        </w:tc>
        <w:tc>
          <w:tcPr>
            <w:tcW w:w="680" w:type="dxa"/>
            <w:vAlign w:val="bottom"/>
            <w:tcBorders>
              <w:top w:val="single" w:sz="8" w:color="auto"/>
            </w:tcBorders>
            <w:gridSpan w:val="3"/>
            <w:shd w:val="clear" w:color="auto" w:fill="CCEEFF"/>
          </w:tcPr>
          <w:p>
            <w:pPr>
              <w:jc w:val="right"/>
              <w:spacing w:after="0" w:line="170" w:lineRule="exact"/>
              <w:rPr>
                <w:sz w:val="20"/>
                <w:szCs w:val="20"/>
                <w:color w:val="auto"/>
              </w:rPr>
            </w:pPr>
            <w:r>
              <w:rPr>
                <w:rFonts w:ascii="Arial" w:cs="Arial" w:eastAsia="Arial" w:hAnsi="Arial"/>
                <w:sz w:val="15"/>
                <w:szCs w:val="15"/>
                <w:color w:val="0000FF"/>
              </w:rPr>
              <w:t>1</w:t>
            </w:r>
          </w:p>
        </w:tc>
        <w:tc>
          <w:tcPr>
            <w:tcW w:w="30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00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Part I - Financial Information</w:t>
            </w: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Item 1.</w:t>
            </w:r>
          </w:p>
        </w:tc>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Condensed Consolidated Financial Statements (Unaudited)</w:t>
            </w: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95"/>
              </w:rPr>
              <w:t>2</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0" w:type="dxa"/>
            <w:vAlign w:val="bottom"/>
          </w:tcPr>
          <w:p>
            <w:pPr>
              <w:ind w:left="620"/>
              <w:spacing w:after="0"/>
              <w:rPr>
                <w:sz w:val="20"/>
                <w:szCs w:val="20"/>
                <w:color w:val="auto"/>
              </w:rPr>
            </w:pPr>
            <w:r>
              <w:rPr>
                <w:rFonts w:ascii="Arial" w:cs="Arial" w:eastAsia="Arial" w:hAnsi="Arial"/>
                <w:sz w:val="15"/>
                <w:szCs w:val="15"/>
                <w:color w:val="auto"/>
              </w:rPr>
              <w:t>Condensed Consolidated Balance Sheets</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2</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Condensed Consolidated Statements of Operations and Comprehensive Loss</w:t>
            </w: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95"/>
              </w:rPr>
              <w:t>3</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0" w:type="dxa"/>
            <w:vAlign w:val="bottom"/>
          </w:tcPr>
          <w:p>
            <w:pPr>
              <w:ind w:left="620"/>
              <w:spacing w:after="0"/>
              <w:rPr>
                <w:sz w:val="20"/>
                <w:szCs w:val="20"/>
                <w:color w:val="auto"/>
              </w:rPr>
            </w:pPr>
            <w:r>
              <w:rPr>
                <w:rFonts w:ascii="Arial" w:cs="Arial" w:eastAsia="Arial" w:hAnsi="Arial"/>
                <w:sz w:val="15"/>
                <w:szCs w:val="15"/>
                <w:color w:val="auto"/>
              </w:rPr>
              <w:t>Condensed Consolidated Statements of Redeemable Convertible Preferred Stock and Shareholders’ Equity (Deficit)</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4</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8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Condensed Consolidated Statements of Cash Flows</w:t>
            </w: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5"/>
                <w:szCs w:val="15"/>
                <w:color w:val="0000FF"/>
                <w:w w:val="95"/>
              </w:rPr>
              <w:t>5</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0" w:type="dxa"/>
            <w:vAlign w:val="bottom"/>
          </w:tcPr>
          <w:p>
            <w:pPr>
              <w:ind w:left="620"/>
              <w:spacing w:after="0"/>
              <w:rPr>
                <w:sz w:val="20"/>
                <w:szCs w:val="20"/>
                <w:color w:val="auto"/>
              </w:rPr>
            </w:pPr>
            <w:r>
              <w:rPr>
                <w:rFonts w:ascii="Arial" w:cs="Arial" w:eastAsia="Arial" w:hAnsi="Arial"/>
                <w:sz w:val="15"/>
                <w:szCs w:val="15"/>
                <w:color w:val="auto"/>
              </w:rPr>
              <w:t>Notes to Condensed Consolidated Financial Statements</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6</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Item 2.</w:t>
            </w:r>
          </w:p>
        </w:tc>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Arial" w:cs="Arial" w:eastAsia="Arial" w:hAnsi="Arial"/>
                <w:sz w:val="15"/>
                <w:szCs w:val="15"/>
                <w:color w:val="0000FF"/>
                <w:w w:val="95"/>
              </w:rPr>
              <w:t>23</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Item 3.</w:t>
            </w:r>
          </w:p>
        </w:tc>
        <w:tc>
          <w:tcPr>
            <w:tcW w:w="8800" w:type="dxa"/>
            <w:vAlign w:val="bottom"/>
          </w:tcPr>
          <w:p>
            <w:pPr>
              <w:ind w:left="440"/>
              <w:spacing w:after="0"/>
              <w:rPr>
                <w:sz w:val="20"/>
                <w:szCs w:val="20"/>
                <w:color w:val="auto"/>
              </w:rPr>
            </w:pPr>
            <w:r>
              <w:rPr>
                <w:rFonts w:ascii="Arial" w:cs="Arial" w:eastAsia="Arial" w:hAnsi="Arial"/>
                <w:sz w:val="15"/>
                <w:szCs w:val="15"/>
                <w:color w:val="auto"/>
              </w:rPr>
              <w:t>Quantitative and Qualitative Disclosures About Market Risk</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36</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Item 4.</w:t>
            </w:r>
          </w:p>
        </w:tc>
        <w:tc>
          <w:tcPr>
            <w:tcW w:w="88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Controls and Procedures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0000FF"/>
              </w:rPr>
              <w:t>37</w:t>
            </w:r>
          </w:p>
        </w:tc>
        <w:tc>
          <w:tcPr>
            <w:tcW w:w="30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00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Part II - Other Information</w:t>
            </w: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Item 1.</w:t>
            </w:r>
          </w:p>
        </w:tc>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Legal Proceedings</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Arial" w:cs="Arial" w:eastAsia="Arial" w:hAnsi="Arial"/>
                <w:sz w:val="15"/>
                <w:szCs w:val="15"/>
                <w:color w:val="0000FF"/>
                <w:w w:val="95"/>
              </w:rPr>
              <w:t>39</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Item 1A.</w:t>
            </w:r>
          </w:p>
        </w:tc>
        <w:tc>
          <w:tcPr>
            <w:tcW w:w="8800" w:type="dxa"/>
            <w:vAlign w:val="bottom"/>
          </w:tcPr>
          <w:p>
            <w:pPr>
              <w:ind w:left="440"/>
              <w:spacing w:after="0"/>
              <w:rPr>
                <w:sz w:val="20"/>
                <w:szCs w:val="20"/>
                <w:color w:val="auto"/>
              </w:rPr>
            </w:pPr>
            <w:r>
              <w:rPr>
                <w:rFonts w:ascii="Arial" w:cs="Arial" w:eastAsia="Arial" w:hAnsi="Arial"/>
                <w:sz w:val="15"/>
                <w:szCs w:val="15"/>
                <w:color w:val="auto"/>
              </w:rPr>
              <w:t>Risk Factors</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39</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Item 2.</w:t>
            </w:r>
          </w:p>
        </w:tc>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Unregistered Sales of Equity Securities and Use of Proceeds</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Arial" w:cs="Arial" w:eastAsia="Arial" w:hAnsi="Arial"/>
                <w:sz w:val="15"/>
                <w:szCs w:val="15"/>
                <w:color w:val="0000FF"/>
                <w:w w:val="95"/>
              </w:rPr>
              <w:t>39</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Item 3.</w:t>
            </w:r>
          </w:p>
        </w:tc>
        <w:tc>
          <w:tcPr>
            <w:tcW w:w="8800" w:type="dxa"/>
            <w:vAlign w:val="bottom"/>
          </w:tcPr>
          <w:p>
            <w:pPr>
              <w:ind w:left="440"/>
              <w:spacing w:after="0"/>
              <w:rPr>
                <w:sz w:val="20"/>
                <w:szCs w:val="20"/>
                <w:color w:val="auto"/>
              </w:rPr>
            </w:pPr>
            <w:r>
              <w:rPr>
                <w:rFonts w:ascii="Arial" w:cs="Arial" w:eastAsia="Arial" w:hAnsi="Arial"/>
                <w:sz w:val="15"/>
                <w:szCs w:val="15"/>
                <w:color w:val="auto"/>
              </w:rPr>
              <w:t>Defaults Upon Senior Securities</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40</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Item 4.</w:t>
            </w:r>
          </w:p>
        </w:tc>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Mine Safety Disclosures</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Arial" w:cs="Arial" w:eastAsia="Arial" w:hAnsi="Arial"/>
                <w:sz w:val="15"/>
                <w:szCs w:val="15"/>
                <w:color w:val="0000FF"/>
                <w:w w:val="95"/>
              </w:rPr>
              <w:t>40</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Item 5.</w:t>
            </w:r>
          </w:p>
        </w:tc>
        <w:tc>
          <w:tcPr>
            <w:tcW w:w="8800" w:type="dxa"/>
            <w:vAlign w:val="bottom"/>
          </w:tcPr>
          <w:p>
            <w:pPr>
              <w:ind w:left="440"/>
              <w:spacing w:after="0"/>
              <w:rPr>
                <w:sz w:val="20"/>
                <w:szCs w:val="20"/>
                <w:color w:val="auto"/>
              </w:rPr>
            </w:pPr>
            <w:r>
              <w:rPr>
                <w:rFonts w:ascii="Arial" w:cs="Arial" w:eastAsia="Arial" w:hAnsi="Arial"/>
                <w:sz w:val="15"/>
                <w:szCs w:val="15"/>
                <w:color w:val="auto"/>
              </w:rPr>
              <w:t>Other Information</w:t>
            </w: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40</w:t>
            </w:r>
          </w:p>
        </w:tc>
        <w:tc>
          <w:tcPr>
            <w:tcW w:w="300" w:type="dxa"/>
            <w:vAlign w:val="bottom"/>
          </w:tcPr>
          <w:p>
            <w:pPr>
              <w:spacing w:after="0"/>
              <w:rPr>
                <w:sz w:val="14"/>
                <w:szCs w:val="14"/>
                <w:color w:val="auto"/>
              </w:rPr>
            </w:pPr>
          </w:p>
        </w:tc>
      </w:tr>
      <w:tr>
        <w:trPr>
          <w:trHeight w:val="37"/>
        </w:trPr>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210"/>
        </w:trPr>
        <w:tc>
          <w:tcPr>
            <w:tcW w:w="280" w:type="dxa"/>
            <w:vAlign w:val="bottom"/>
          </w:tcPr>
          <w:p>
            <w:pPr>
              <w:spacing w:after="0"/>
              <w:rPr>
                <w:sz w:val="18"/>
                <w:szCs w:val="18"/>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Item 6.</w:t>
            </w:r>
          </w:p>
        </w:tc>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Exhibits</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Arial" w:cs="Arial" w:eastAsia="Arial" w:hAnsi="Arial"/>
                <w:sz w:val="15"/>
                <w:szCs w:val="15"/>
                <w:color w:val="0000FF"/>
                <w:w w:val="95"/>
              </w:rPr>
              <w:t>41</w:t>
            </w:r>
          </w:p>
        </w:tc>
        <w:tc>
          <w:tcPr>
            <w:tcW w:w="300" w:type="dxa"/>
            <w:vAlign w:val="bottom"/>
          </w:tcPr>
          <w:p>
            <w:pPr>
              <w:spacing w:after="0"/>
              <w:rPr>
                <w:sz w:val="18"/>
                <w:szCs w:val="18"/>
                <w:color w:val="auto"/>
              </w:rPr>
            </w:pPr>
          </w:p>
        </w:tc>
      </w:tr>
      <w:tr>
        <w:trPr>
          <w:trHeight w:val="172"/>
        </w:trPr>
        <w:tc>
          <w:tcPr>
            <w:tcW w:w="2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88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0000FF"/>
              </w:rPr>
              <w:t>43</w:t>
            </w:r>
          </w:p>
        </w:tc>
        <w:tc>
          <w:tcPr>
            <w:tcW w:w="300" w:type="dxa"/>
            <w:vAlign w:val="bottom"/>
          </w:tcPr>
          <w:p>
            <w:pPr>
              <w:spacing w:after="0"/>
              <w:rPr>
                <w:sz w:val="14"/>
                <w:szCs w:val="14"/>
                <w:color w:val="auto"/>
              </w:rPr>
            </w:pPr>
          </w:p>
        </w:tc>
      </w:tr>
      <w:tr>
        <w:trPr>
          <w:trHeight w:val="1097"/>
        </w:trPr>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63" w:lineRule="exact"/>
        <w:rPr>
          <w:sz w:val="20"/>
          <w:szCs w:val="20"/>
          <w:color w:val="auto"/>
        </w:rPr>
      </w:pPr>
    </w:p>
    <w:p>
      <w:pPr>
        <w:ind w:right="60" w:firstLine="551"/>
        <w:spacing w:after="0" w:line="262" w:lineRule="auto"/>
        <w:rPr>
          <w:sz w:val="20"/>
          <w:szCs w:val="20"/>
          <w:color w:val="auto"/>
        </w:rPr>
      </w:pPr>
      <w:r>
        <w:rPr>
          <w:rFonts w:ascii="Arial" w:cs="Arial" w:eastAsia="Arial" w:hAnsi="Arial"/>
          <w:sz w:val="15"/>
          <w:szCs w:val="15"/>
          <w:color w:val="auto"/>
        </w:rPr>
        <w:t>This Quarterly Report on Form 10-Q (this “Quarterly Report”) contains forward-looking statements within the meaning of the Private Securities Litigation Reform Act of 1995 and other federal securities laws. All statements other than statements of historical facts contained in this Quarterly Report, including statements regarding our expectations of future results of operations and financial condition, business strategy, future solutions, and launches of new solutions, technology, R&amp;D costs, regulatory approvals, potential market opportunity, anticipated trends in our business,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9" w:lineRule="exact"/>
        <w:rPr>
          <w:sz w:val="20"/>
          <w:szCs w:val="20"/>
          <w:color w:val="auto"/>
        </w:rPr>
      </w:pPr>
    </w:p>
    <w:p>
      <w:pPr>
        <w:ind w:right="40" w:firstLine="551"/>
        <w:spacing w:after="0" w:line="275" w:lineRule="auto"/>
        <w:rPr>
          <w:sz w:val="20"/>
          <w:szCs w:val="20"/>
          <w:color w:val="auto"/>
        </w:rPr>
      </w:pPr>
      <w:r>
        <w:rPr>
          <w:rFonts w:ascii="Arial" w:cs="Arial" w:eastAsia="Arial" w:hAnsi="Arial"/>
          <w:sz w:val="15"/>
          <w:szCs w:val="15"/>
          <w:color w:val="auto"/>
        </w:rPr>
        <w:t>The words “anticipate,” “believe,” “contemplate,” “continue,” “could,” “estimate,” “expect,” “intend,” “may,” “plan,” “potential,” “predict,” “project,” “should,” “target,” “will,” or “would,” or the negative of these terms or other similar expressions, are intended to identify forward looking statements. Forward-looking statements contained in this Quarterly Report include, but are not limited to, statements about:</w:t>
      </w:r>
    </w:p>
    <w:p>
      <w:pPr>
        <w:spacing w:after="0" w:line="108" w:lineRule="exact"/>
        <w:rPr>
          <w:sz w:val="20"/>
          <w:szCs w:val="20"/>
          <w:color w:val="auto"/>
        </w:rPr>
      </w:pPr>
    </w:p>
    <w:p>
      <w:pPr>
        <w:ind w:left="540" w:right="200" w:hanging="273"/>
        <w:spacing w:after="0" w:line="265" w:lineRule="auto"/>
        <w:tabs>
          <w:tab w:leader="none" w:pos="513" w:val="left"/>
        </w:tabs>
        <w:numPr>
          <w:ilvl w:val="0"/>
          <w:numId w:val="3"/>
        </w:numPr>
        <w:rPr>
          <w:rFonts w:ascii="Arial" w:cs="Arial" w:eastAsia="Arial" w:hAnsi="Arial"/>
          <w:sz w:val="15"/>
          <w:szCs w:val="15"/>
          <w:color w:val="auto"/>
        </w:rPr>
      </w:pPr>
      <w:r>
        <w:rPr>
          <w:rFonts w:ascii="Arial" w:cs="Arial" w:eastAsia="Arial" w:hAnsi="Arial"/>
          <w:sz w:val="15"/>
          <w:szCs w:val="15"/>
          <w:color w:val="auto"/>
        </w:rPr>
        <w:t>developments in the precision medicine industry, including the market size for molecular information services and our biopharma partners’ use of molecular information;</w:t>
      </w: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as to our addressable U.S. market in oncology, future financial performance, results of operations, or other operational results or metrics;</w:t>
      </w:r>
    </w:p>
    <w:p>
      <w:pPr>
        <w:spacing w:after="0" w:line="11" w:lineRule="exact"/>
        <w:rPr>
          <w:rFonts w:ascii="Arial" w:cs="Arial" w:eastAsia="Arial" w:hAnsi="Arial"/>
          <w:sz w:val="15"/>
          <w:szCs w:val="15"/>
          <w:color w:val="auto"/>
        </w:rPr>
      </w:pPr>
    </w:p>
    <w:p>
      <w:pPr>
        <w:ind w:left="540" w:hanging="273"/>
        <w:spacing w:after="0" w:line="255" w:lineRule="auto"/>
        <w:tabs>
          <w:tab w:leader="none" w:pos="513"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scale the Caris platform and develop and successfully launch new solutions or enhancements to existing solutions, as well as commercial market acceptance for our solutions, acceptance of preventive as well as diagnostic testing paradigms, and our ability to generate and meet demand for new and enhanced solutions;</w:t>
      </w:r>
    </w:p>
    <w:p>
      <w:pPr>
        <w:spacing w:after="0" w:line="1" w:lineRule="exact"/>
        <w:rPr>
          <w:rFonts w:ascii="Arial" w:cs="Arial" w:eastAsia="Arial" w:hAnsi="Arial"/>
          <w:sz w:val="15"/>
          <w:szCs w:val="15"/>
          <w:color w:val="auto"/>
        </w:rPr>
      </w:pP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capture, aggregate, analyze, or otherwise utilize molecular information in novel ways;</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compete with companies that are currently in, or may in the future enter, the industry in which we operate;</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third-party payer reimbursement and coverage decisions;</w:t>
      </w:r>
    </w:p>
    <w:p>
      <w:pPr>
        <w:spacing w:after="0" w:line="11" w:lineRule="exact"/>
        <w:rPr>
          <w:rFonts w:ascii="Arial" w:cs="Arial" w:eastAsia="Arial" w:hAnsi="Arial"/>
          <w:sz w:val="15"/>
          <w:szCs w:val="15"/>
          <w:color w:val="auto"/>
        </w:rPr>
      </w:pPr>
    </w:p>
    <w:p>
      <w:pPr>
        <w:ind w:left="540" w:right="280" w:hanging="273"/>
        <w:spacing w:after="0" w:line="255" w:lineRule="auto"/>
        <w:tabs>
          <w:tab w:leader="none" w:pos="513"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ability of our solutions to help our biopharma partners and physicians improve the efficiency and success of their therapeutic development, and clinical programs;</w:t>
      </w: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establish, maintain, protect, enforce and enhance our intellectual property rights;</w:t>
      </w:r>
    </w:p>
    <w:p>
      <w:pPr>
        <w:spacing w:after="0" w:line="11" w:lineRule="exact"/>
        <w:rPr>
          <w:rFonts w:ascii="Arial" w:cs="Arial" w:eastAsia="Arial" w:hAnsi="Arial"/>
          <w:sz w:val="15"/>
          <w:szCs w:val="15"/>
          <w:color w:val="auto"/>
        </w:rPr>
      </w:pPr>
    </w:p>
    <w:p>
      <w:pPr>
        <w:ind w:left="540" w:right="400" w:hanging="273"/>
        <w:spacing w:after="0" w:line="255" w:lineRule="auto"/>
        <w:tabs>
          <w:tab w:leader="none" w:pos="513" w:val="left"/>
        </w:tabs>
        <w:numPr>
          <w:ilvl w:val="0"/>
          <w:numId w:val="3"/>
        </w:numPr>
        <w:rPr>
          <w:rFonts w:ascii="Arial" w:cs="Arial" w:eastAsia="Arial" w:hAnsi="Arial"/>
          <w:sz w:val="15"/>
          <w:szCs w:val="15"/>
          <w:color w:val="auto"/>
        </w:rPr>
      </w:pPr>
      <w:r>
        <w:rPr>
          <w:rFonts w:ascii="Arial" w:cs="Arial" w:eastAsia="Arial" w:hAnsi="Arial"/>
          <w:sz w:val="15"/>
          <w:szCs w:val="15"/>
          <w:color w:val="auto"/>
        </w:rPr>
        <w:t>federal, state, and foreign regulatory requirements, including FDA regulation of our solutions, the timing, likelihood, or conditions of regulatory filings and approvals, and our compliance with applicable laws and regulations;</w:t>
      </w: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hire and retain key personnel;</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anticipated cash needs and our estimates regarding our capital requirements;</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estimates regarding our expenses, future revenue, and capital requirements; and</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remediating the material weakness in our internal control over financial reporting.</w:t>
      </w:r>
    </w:p>
    <w:p>
      <w:pPr>
        <w:spacing w:after="0" w:line="147" w:lineRule="exact"/>
        <w:rPr>
          <w:sz w:val="20"/>
          <w:szCs w:val="20"/>
          <w:color w:val="auto"/>
        </w:rPr>
      </w:pPr>
    </w:p>
    <w:p>
      <w:pPr>
        <w:ind w:right="20" w:firstLine="551"/>
        <w:spacing w:after="0" w:line="262" w:lineRule="auto"/>
        <w:rPr>
          <w:sz w:val="20"/>
          <w:szCs w:val="20"/>
          <w:color w:val="auto"/>
        </w:rPr>
      </w:pPr>
      <w:r>
        <w:rPr>
          <w:rFonts w:ascii="Arial" w:cs="Arial" w:eastAsia="Arial" w:hAnsi="Arial"/>
          <w:sz w:val="15"/>
          <w:szCs w:val="15"/>
          <w:color w:val="auto"/>
        </w:rPr>
        <w:t>These forward-looking statements are subject to a number of risks, uncertainties, and assumptions, including those described in the section titled “Risk Factors” and elsewhere in our Annual Report on Form 10-K for the year ended December 31, 2025 and in other filings we make with the Securities and Exchange Commission from time to time. Moreover, we operate in a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29" w:lineRule="exact"/>
        <w:rPr>
          <w:sz w:val="20"/>
          <w:szCs w:val="20"/>
          <w:color w:val="auto"/>
        </w:rPr>
      </w:pPr>
    </w:p>
    <w:p>
      <w:pPr>
        <w:ind w:right="60" w:firstLine="551"/>
        <w:spacing w:after="0" w:line="261" w:lineRule="auto"/>
        <w:rPr>
          <w:sz w:val="20"/>
          <w:szCs w:val="20"/>
          <w:color w:val="auto"/>
        </w:rPr>
      </w:pPr>
      <w:r>
        <w:rPr>
          <w:rFonts w:ascii="Arial" w:cs="Arial" w:eastAsia="Arial" w:hAnsi="Arial"/>
          <w:sz w:val="15"/>
          <w:szCs w:val="15"/>
          <w:color w:val="auto"/>
        </w:rPr>
        <w:t>Although we believe that the expectations reflected in our forward-looking statements are reasonable based on the information available to us when they are made, we cannot guarantee that the future results, advancements, discoveries, levels of activity, performance, or events and circumstances reflected in the forward-looking statements will be achieved or occur.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forward-looking statements. We undertake no obligation to update any forward-looking statements, which speak only as the date they are made, for any reason after the date of this Quarterly Report.</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179070</wp:posOffset>
            </wp:positionV>
            <wp:extent cx="717804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b w:val="1"/>
                <w:bCs w:val="1"/>
                <w:color w:val="0000FF"/>
                <w:w w:val="99"/>
              </w:rPr>
              <w:t>Table of Contents</w:t>
            </w:r>
          </w:p>
        </w:tc>
        <w:tc>
          <w:tcPr>
            <w:tcW w:w="682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713"/>
        </w:trPr>
        <w:tc>
          <w:tcPr>
            <w:tcW w:w="8100" w:type="dxa"/>
            <w:vAlign w:val="bottom"/>
            <w:gridSpan w:val="6"/>
          </w:tcPr>
          <w:p>
            <w:pPr>
              <w:spacing w:after="0"/>
              <w:rPr>
                <w:sz w:val="20"/>
                <w:szCs w:val="20"/>
                <w:color w:val="auto"/>
              </w:rPr>
            </w:pPr>
            <w:r>
              <w:rPr>
                <w:rFonts w:ascii="Arial" w:cs="Arial" w:eastAsia="Arial" w:hAnsi="Arial"/>
                <w:sz w:val="15"/>
                <w:szCs w:val="15"/>
                <w:b w:val="1"/>
                <w:bCs w:val="1"/>
                <w:color w:val="auto"/>
              </w:rPr>
              <w:t>Part I - Financial Information</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3"/>
        </w:trPr>
        <w:tc>
          <w:tcPr>
            <w:tcW w:w="8100" w:type="dxa"/>
            <w:vAlign w:val="bottom"/>
            <w:gridSpan w:val="6"/>
          </w:tcPr>
          <w:p>
            <w:pPr>
              <w:spacing w:after="0"/>
              <w:rPr>
                <w:sz w:val="20"/>
                <w:szCs w:val="20"/>
                <w:color w:val="auto"/>
              </w:rPr>
            </w:pPr>
            <w:r>
              <w:rPr>
                <w:rFonts w:ascii="Arial" w:cs="Arial" w:eastAsia="Arial" w:hAnsi="Arial"/>
                <w:sz w:val="15"/>
                <w:szCs w:val="15"/>
                <w:b w:val="1"/>
                <w:bCs w:val="1"/>
                <w:color w:val="auto"/>
              </w:rPr>
              <w:t>Item 1. Condensed Consolidated Financial Statements (Unaudited)</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5"/>
                <w:szCs w:val="15"/>
                <w:b w:val="1"/>
                <w:bCs w:val="1"/>
                <w:color w:val="auto"/>
              </w:rPr>
              <w:t>CARIS LIFE SCIENCES, INC</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5"/>
                <w:szCs w:val="15"/>
                <w:b w:val="1"/>
                <w:bCs w:val="1"/>
                <w:color w:val="auto"/>
              </w:rPr>
              <w:t>CONDENSED CONSOLIDATED BALANCE SHEETS (UNAUDITED)</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4"/>
        </w:trPr>
        <w:tc>
          <w:tcPr>
            <w:tcW w:w="2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Arial" w:cs="Arial" w:eastAsia="Arial" w:hAnsi="Arial"/>
                <w:sz w:val="15"/>
                <w:szCs w:val="15"/>
                <w:b w:val="1"/>
                <w:bCs w:val="1"/>
                <w:color w:val="auto"/>
              </w:rPr>
              <w:t>(amounts in thousands, except share data)</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rPr>
              <w:t>As of March 31,</w:t>
            </w:r>
          </w:p>
        </w:tc>
        <w:tc>
          <w:tcPr>
            <w:tcW w:w="1540" w:type="dxa"/>
            <w:vAlign w:val="bottom"/>
            <w:gridSpan w:val="2"/>
          </w:tcPr>
          <w:p>
            <w:pPr>
              <w:jc w:val="right"/>
              <w:spacing w:after="0"/>
              <w:rPr>
                <w:sz w:val="20"/>
                <w:szCs w:val="20"/>
                <w:color w:val="auto"/>
              </w:rPr>
            </w:pPr>
            <w:r>
              <w:rPr>
                <w:rFonts w:ascii="Arial" w:cs="Arial" w:eastAsia="Arial" w:hAnsi="Arial"/>
                <w:sz w:val="15"/>
                <w:szCs w:val="15"/>
                <w:b w:val="1"/>
                <w:bCs w:val="1"/>
                <w:color w:val="auto"/>
              </w:rPr>
              <w:t>As of December 31,</w:t>
            </w:r>
          </w:p>
        </w:tc>
      </w:tr>
      <w:tr>
        <w:trPr>
          <w:trHeight w:val="37"/>
        </w:trPr>
        <w:tc>
          <w:tcPr>
            <w:tcW w:w="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9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2025</w:t>
            </w:r>
          </w:p>
        </w:tc>
      </w:tr>
      <w:tr>
        <w:trPr>
          <w:trHeight w:val="15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821,147</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797,799</w:t>
            </w: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Short-term 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2,315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2,295</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Accounts receivable</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90,517</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112,140</w:t>
            </w: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Supplies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76,289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63,625</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23,912</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21,941</w:t>
            </w:r>
          </w:p>
        </w:tc>
      </w:tr>
      <w:tr>
        <w:trPr>
          <w:trHeight w:val="200"/>
        </w:trPr>
        <w:tc>
          <w:tcPr>
            <w:tcW w:w="20" w:type="dxa"/>
            <w:vAlign w:val="bottom"/>
          </w:tcPr>
          <w:p>
            <w:pPr>
              <w:spacing w:after="0"/>
              <w:rPr>
                <w:sz w:val="17"/>
                <w:szCs w:val="17"/>
                <w:color w:val="auto"/>
              </w:rPr>
            </w:pPr>
          </w:p>
        </w:tc>
        <w:tc>
          <w:tcPr>
            <w:tcW w:w="8080" w:type="dxa"/>
            <w:vAlign w:val="bottom"/>
            <w:gridSpan w:val="5"/>
          </w:tcPr>
          <w:p>
            <w:pPr>
              <w:ind w:left="280"/>
              <w:spacing w:after="0"/>
              <w:rPr>
                <w:sz w:val="20"/>
                <w:szCs w:val="20"/>
                <w:color w:val="auto"/>
              </w:rPr>
            </w:pPr>
            <w:r>
              <w:rPr>
                <w:rFonts w:ascii="Arial" w:cs="Arial" w:eastAsia="Arial" w:hAnsi="Arial"/>
                <w:sz w:val="15"/>
                <w:szCs w:val="15"/>
                <w:color w:val="auto"/>
              </w:rPr>
              <w:t>Total current assets</w:t>
            </w: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1,014,180</w:t>
            </w: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997,800</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82,669</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63,170</w:t>
            </w: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Goodwill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19,344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19,344</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46,195</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45,349</w:t>
            </w:r>
          </w:p>
        </w:tc>
      </w:tr>
      <w:tr>
        <w:trPr>
          <w:trHeight w:val="221"/>
        </w:trPr>
        <w:tc>
          <w:tcPr>
            <w:tcW w:w="20" w:type="dxa"/>
            <w:vAlign w:val="bottom"/>
          </w:tcPr>
          <w:p>
            <w:pPr>
              <w:spacing w:after="0"/>
              <w:rPr>
                <w:sz w:val="19"/>
                <w:szCs w:val="19"/>
                <w:color w:val="auto"/>
              </w:rPr>
            </w:pPr>
          </w:p>
        </w:tc>
        <w:tc>
          <w:tcPr>
            <w:tcW w:w="8080" w:type="dxa"/>
            <w:vAlign w:val="bottom"/>
            <w:gridSpan w:val="5"/>
          </w:tcPr>
          <w:p>
            <w:pPr>
              <w:ind w:left="28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1,162,388</w:t>
            </w: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1,125,663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Current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69,802</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39,206</w:t>
            </w: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73,921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87,770</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Current portion of indebtedness</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w:t>
            </w:r>
          </w:p>
        </w:tc>
      </w:tr>
      <w:tr>
        <w:trPr>
          <w:trHeight w:val="200"/>
        </w:trPr>
        <w:tc>
          <w:tcPr>
            <w:tcW w:w="20" w:type="dxa"/>
            <w:vAlign w:val="bottom"/>
          </w:tcPr>
          <w:p>
            <w:pPr>
              <w:spacing w:after="0"/>
              <w:rPr>
                <w:sz w:val="17"/>
                <w:szCs w:val="17"/>
                <w:color w:val="auto"/>
              </w:rPr>
            </w:pPr>
          </w:p>
        </w:tc>
        <w:tc>
          <w:tcPr>
            <w:tcW w:w="8080" w:type="dxa"/>
            <w:vAlign w:val="bottom"/>
            <w:gridSpan w:val="5"/>
          </w:tcPr>
          <w:p>
            <w:pPr>
              <w:ind w:left="280"/>
              <w:spacing w:after="0"/>
              <w:rPr>
                <w:sz w:val="20"/>
                <w:szCs w:val="20"/>
                <w:color w:val="auto"/>
              </w:rPr>
            </w:pPr>
            <w:r>
              <w:rPr>
                <w:rFonts w:ascii="Arial" w:cs="Arial" w:eastAsia="Arial" w:hAnsi="Arial"/>
                <w:sz w:val="15"/>
                <w:szCs w:val="15"/>
                <w:color w:val="auto"/>
              </w:rPr>
              <w:t>Total current liabilities</w:t>
            </w: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143,896</w:t>
            </w: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127,145</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Long-term indebtedness, net of debt discounts</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381,402</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378,823</w:t>
            </w: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Other long-term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43,600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42,388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5"/>
                <w:szCs w:val="15"/>
                <w:color w:val="auto"/>
              </w:rPr>
              <w:t>Total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568,898</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548,356</w:t>
            </w:r>
          </w:p>
        </w:tc>
      </w:tr>
      <w:tr>
        <w:trPr>
          <w:trHeight w:val="172"/>
        </w:trPr>
        <w:tc>
          <w:tcPr>
            <w:tcW w:w="20" w:type="dxa"/>
            <w:vAlign w:val="bottom"/>
          </w:tcPr>
          <w:p>
            <w:pPr>
              <w:spacing w:after="0"/>
              <w:rPr>
                <w:sz w:val="14"/>
                <w:szCs w:val="14"/>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 xml:space="preserve">Commitments and contingencies (see </w:t>
            </w:r>
            <w:r>
              <w:rPr>
                <w:rFonts w:ascii="Arial" w:cs="Arial" w:eastAsia="Arial" w:hAnsi="Arial"/>
                <w:sz w:val="15"/>
                <w:szCs w:val="15"/>
                <w:color w:val="0E32E1"/>
              </w:rPr>
              <w:t>note 7</w:t>
            </w: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7"/>
        </w:trPr>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20" w:type="dxa"/>
            <w:vAlign w:val="bottom"/>
            <w:tcBorders>
              <w:top w:val="single" w:sz="8" w:color="0E32E1"/>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Preferred stock, $0.001 par value per share; 100,000,000 shares authorized as of March 31, 2026 and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December 31, 2025; no shares issued and outstanding as of March 31, 2026 and December 31, 2025</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08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Common stock, $0.001 par value per share; 2,800,000,000 shares authorized as of March 31, 2026 and</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4"/>
        </w:trPr>
        <w:tc>
          <w:tcPr>
            <w:tcW w:w="20" w:type="dxa"/>
            <w:vAlign w:val="bottom"/>
            <w:shd w:val="clear" w:color="auto" w:fill="CCEEFF"/>
          </w:tcPr>
          <w:p>
            <w:pPr>
              <w:spacing w:after="0"/>
              <w:rPr>
                <w:sz w:val="15"/>
                <w:szCs w:val="15"/>
                <w:color w:val="auto"/>
              </w:rPr>
            </w:pPr>
          </w:p>
        </w:tc>
        <w:tc>
          <w:tcPr>
            <w:tcW w:w="808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December 31, 2025; 284,262,436 and 284,137,810 shares issued as of March 31, 2026 and December 31, 2025,</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20" w:type="dxa"/>
            <w:vAlign w:val="bottom"/>
            <w:shd w:val="clear" w:color="auto" w:fill="CCEEFF"/>
          </w:tcPr>
          <w:p>
            <w:pPr>
              <w:spacing w:after="0"/>
              <w:rPr>
                <w:sz w:val="15"/>
                <w:szCs w:val="15"/>
                <w:color w:val="auto"/>
              </w:rPr>
            </w:pPr>
          </w:p>
        </w:tc>
        <w:tc>
          <w:tcPr>
            <w:tcW w:w="808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respectively; 282,650,723 and 282,526,097 shares outstanding as of March 31, 2026 and December 31, 2025,</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20" w:type="dxa"/>
            <w:vAlign w:val="bottom"/>
            <w:shd w:val="clear" w:color="auto" w:fill="CCEEFF"/>
          </w:tcPr>
          <w:p>
            <w:pPr>
              <w:spacing w:after="0"/>
              <w:rPr>
                <w:sz w:val="15"/>
                <w:szCs w:val="15"/>
                <w:color w:val="auto"/>
              </w:rPr>
            </w:pPr>
          </w:p>
        </w:tc>
        <w:tc>
          <w:tcPr>
            <w:tcW w:w="808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respectively; shares issued and outstanding include 23,446 unvested shares subject to repurchase as of March 31,</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2026 and December 31, 2025</w:t>
            </w: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283</w:t>
            </w: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Treasury stock at cost, 1,611,713 shares of common stock as of March 31, 2026 and December 31, 2025</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(16,896)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(16,896)</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3,158,455</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3,141,720</w:t>
            </w: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(2,549,246)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(2,548,736)</w:t>
            </w:r>
          </w:p>
        </w:tc>
      </w:tr>
      <w:tr>
        <w:trPr>
          <w:trHeight w:val="21"/>
        </w:trPr>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income</w:t>
            </w: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936</w:t>
            </w:r>
          </w:p>
        </w:tc>
      </w:tr>
      <w:tr>
        <w:trPr>
          <w:trHeight w:val="200"/>
        </w:trPr>
        <w:tc>
          <w:tcPr>
            <w:tcW w:w="20" w:type="dxa"/>
            <w:vAlign w:val="bottom"/>
          </w:tcPr>
          <w:p>
            <w:pPr>
              <w:spacing w:after="0"/>
              <w:rPr>
                <w:sz w:val="17"/>
                <w:szCs w:val="17"/>
                <w:color w:val="auto"/>
              </w:rPr>
            </w:pPr>
          </w:p>
        </w:tc>
        <w:tc>
          <w:tcPr>
            <w:tcW w:w="8080" w:type="dxa"/>
            <w:vAlign w:val="bottom"/>
            <w:gridSpan w:val="5"/>
          </w:tcPr>
          <w:p>
            <w:pPr>
              <w:ind w:left="280"/>
              <w:spacing w:after="0"/>
              <w:rPr>
                <w:sz w:val="20"/>
                <w:szCs w:val="20"/>
                <w:color w:val="auto"/>
              </w:rPr>
            </w:pPr>
            <w:r>
              <w:rPr>
                <w:rFonts w:ascii="Arial" w:cs="Arial" w:eastAsia="Arial" w:hAnsi="Arial"/>
                <w:sz w:val="15"/>
                <w:szCs w:val="15"/>
                <w:color w:val="auto"/>
              </w:rPr>
              <w:t>Total shareholders' equity</w:t>
            </w: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593,490</w:t>
            </w: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577,307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5"/>
                <w:szCs w:val="15"/>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1,162,388</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1,125,663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8100" w:type="dxa"/>
            <w:vAlign w:val="bottom"/>
            <w:gridSpan w:val="6"/>
          </w:tcPr>
          <w:p>
            <w:pPr>
              <w:spacing w:after="0"/>
              <w:rPr>
                <w:sz w:val="20"/>
                <w:szCs w:val="20"/>
                <w:color w:val="auto"/>
              </w:rPr>
            </w:pPr>
            <w:r>
              <w:rPr>
                <w:rFonts w:ascii="Arial" w:cs="Arial" w:eastAsia="Arial" w:hAnsi="Arial"/>
                <w:sz w:val="15"/>
                <w:szCs w:val="15"/>
                <w:b w:val="1"/>
                <w:bCs w:val="1"/>
                <w:color w:val="0000FF"/>
              </w:rPr>
              <w:t>Table of Contents</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420" w:type="dxa"/>
            <w:vAlign w:val="bottom"/>
            <w:gridSpan w:val="7"/>
          </w:tcPr>
          <w:p>
            <w:pPr>
              <w:ind w:left="420"/>
              <w:spacing w:after="0"/>
              <w:rPr>
                <w:sz w:val="20"/>
                <w:szCs w:val="20"/>
                <w:color w:val="auto"/>
              </w:rPr>
            </w:pPr>
            <w:r>
              <w:rPr>
                <w:rFonts w:ascii="Arial" w:cs="Arial" w:eastAsia="Arial" w:hAnsi="Arial"/>
                <w:sz w:val="15"/>
                <w:szCs w:val="15"/>
                <w:b w:val="1"/>
                <w:bCs w:val="1"/>
                <w:color w:val="auto"/>
              </w:rPr>
              <w:t>CONDENSED CONSOLIDATED STATEMENTS OF OPERATIONS AND COMPREHENSIVE LOSS (UNAUDITED)</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Arial" w:cs="Arial" w:eastAsia="Arial" w:hAnsi="Arial"/>
                <w:sz w:val="15"/>
                <w:szCs w:val="15"/>
                <w:b w:val="1"/>
                <w:bCs w:val="1"/>
                <w:color w:val="auto"/>
              </w:rPr>
              <w:t>(amounts in thousands, except share and per share data)</w:t>
            </w:r>
          </w:p>
        </w:tc>
        <w:tc>
          <w:tcPr>
            <w:tcW w:w="260" w:type="dxa"/>
            <w:vAlign w:val="bottom"/>
          </w:tcPr>
          <w:p>
            <w:pPr>
              <w:spacing w:after="0"/>
              <w:rPr>
                <w:sz w:val="24"/>
                <w:szCs w:val="24"/>
                <w:color w:val="auto"/>
              </w:rPr>
            </w:pPr>
          </w:p>
        </w:tc>
        <w:tc>
          <w:tcPr>
            <w:tcW w:w="2880" w:type="dxa"/>
            <w:vAlign w:val="bottom"/>
            <w:gridSpan w:val="4"/>
          </w:tcPr>
          <w:p>
            <w:pPr>
              <w:jc w:val="right"/>
              <w:ind w:right="36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9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Revenue:</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Molecular profiling services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210,800</w:t>
            </w:r>
          </w:p>
        </w:tc>
        <w:tc>
          <w:tcPr>
            <w:tcW w:w="6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114,081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Pharma research and development services</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5,374</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gridSpan w:val="5"/>
          </w:tcPr>
          <w:p>
            <w:pPr>
              <w:ind w:left="280"/>
              <w:spacing w:after="0"/>
              <w:rPr>
                <w:sz w:val="20"/>
                <w:szCs w:val="20"/>
                <w:color w:val="auto"/>
              </w:rPr>
            </w:pPr>
            <w:r>
              <w:rPr>
                <w:rFonts w:ascii="Arial" w:cs="Arial" w:eastAsia="Arial" w:hAnsi="Arial"/>
                <w:sz w:val="15"/>
                <w:szCs w:val="15"/>
                <w:b w:val="1"/>
                <w:bCs w:val="1"/>
                <w:color w:val="auto"/>
              </w:rPr>
              <w:t>Total revenue</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216,174</w:t>
            </w: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120,915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Costs and operating expenses:</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Cost of Services - Molecular profiling services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72,884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60,894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Cost of Services - Pharma research and development services</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1,942</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Selling and marketing expense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45,043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39,829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5"/>
            <w:shd w:val="clear" w:color="auto" w:fill="CCEEFF"/>
          </w:tcPr>
          <w:p>
            <w:pPr>
              <w:ind w:left="140"/>
              <w:spacing w:after="0"/>
              <w:rPr>
                <w:sz w:val="20"/>
                <w:szCs w:val="20"/>
                <w:color w:val="auto"/>
              </w:rPr>
            </w:pPr>
            <w:r>
              <w:rPr>
                <w:rFonts w:ascii="Arial" w:cs="Arial" w:eastAsia="Arial" w:hAnsi="Arial"/>
                <w:sz w:val="15"/>
                <w:szCs w:val="15"/>
                <w:color w:val="auto"/>
              </w:rPr>
              <w:t xml:space="preserve">General and administrative expense (see </w:t>
            </w:r>
            <w:r>
              <w:rPr>
                <w:rFonts w:ascii="Arial" w:cs="Arial" w:eastAsia="Arial" w:hAnsi="Arial"/>
                <w:sz w:val="15"/>
                <w:szCs w:val="15"/>
                <w:color w:val="0E32E1"/>
              </w:rPr>
              <w:t>note 8</w:t>
            </w: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59,708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52,119</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gridSpan w:val="2"/>
          </w:tcPr>
          <w:p>
            <w:pPr>
              <w:ind w:left="140"/>
              <w:spacing w:after="0"/>
              <w:rPr>
                <w:sz w:val="20"/>
                <w:szCs w:val="20"/>
                <w:color w:val="auto"/>
              </w:rPr>
            </w:pPr>
            <w:r>
              <w:rPr>
                <w:rFonts w:ascii="Arial" w:cs="Arial" w:eastAsia="Arial" w:hAnsi="Arial"/>
                <w:sz w:val="15"/>
                <w:szCs w:val="15"/>
                <w:color w:val="auto"/>
              </w:rPr>
              <w:t>Research and development expense</w:t>
            </w:r>
          </w:p>
        </w:tc>
        <w:tc>
          <w:tcPr>
            <w:tcW w:w="440" w:type="dxa"/>
            <w:vAlign w:val="bottom"/>
            <w:tcBorders>
              <w:top w:val="single" w:sz="8" w:color="0E32E1"/>
            </w:tcBorders>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31,315</w:t>
            </w: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23,066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ind w:left="280"/>
              <w:spacing w:after="0"/>
              <w:rPr>
                <w:sz w:val="20"/>
                <w:szCs w:val="20"/>
                <w:color w:val="auto"/>
              </w:rPr>
            </w:pPr>
            <w:r>
              <w:rPr>
                <w:rFonts w:ascii="Arial" w:cs="Arial" w:eastAsia="Arial" w:hAnsi="Arial"/>
                <w:sz w:val="15"/>
                <w:szCs w:val="15"/>
                <w:b w:val="1"/>
                <w:bCs w:val="1"/>
                <w:color w:val="auto"/>
              </w:rPr>
              <w:t>Total costs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210,892</w:t>
            </w: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178,867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b w:val="1"/>
                <w:bCs w:val="1"/>
                <w:color w:val="auto"/>
              </w:rPr>
              <w:t>Income (Loss) from operations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5,282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(57,952)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Other expense, net:</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6,834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(12,809)</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ind w:left="140"/>
              <w:spacing w:after="0"/>
              <w:rPr>
                <w:sz w:val="20"/>
                <w:szCs w:val="20"/>
                <w:color w:val="auto"/>
              </w:rPr>
            </w:pPr>
            <w:r>
              <w:rPr>
                <w:rFonts w:ascii="Arial" w:cs="Arial" w:eastAsia="Arial" w:hAnsi="Arial"/>
                <w:sz w:val="15"/>
                <w:szCs w:val="15"/>
                <w:color w:val="auto"/>
              </w:rPr>
              <w:t>Changes in fair value of financial instruments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(32,333)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Other income (expense), net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5"/>
          </w:tcPr>
          <w:p>
            <w:pPr>
              <w:ind w:left="280"/>
              <w:spacing w:after="0"/>
              <w:rPr>
                <w:sz w:val="20"/>
                <w:szCs w:val="20"/>
                <w:color w:val="auto"/>
              </w:rPr>
            </w:pPr>
            <w:r>
              <w:rPr>
                <w:rFonts w:ascii="Arial" w:cs="Arial" w:eastAsia="Arial" w:hAnsi="Arial"/>
                <w:sz w:val="15"/>
                <w:szCs w:val="15"/>
                <w:b w:val="1"/>
                <w:bCs w:val="1"/>
                <w:color w:val="auto"/>
              </w:rPr>
              <w:t>Total other expense, net</w:t>
            </w: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(5,926)</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(44,629)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5"/>
                <w:szCs w:val="15"/>
                <w:b w:val="1"/>
                <w:bCs w:val="1"/>
                <w:color w:val="auto"/>
              </w:rPr>
              <w:t>Loss before income taxes and income tax benefit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(644)</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(102,581)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Income tax benefit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(510)</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(102,581)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8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5"/>
                <w:szCs w:val="15"/>
                <w:color w:val="auto"/>
              </w:rPr>
              <w:t>Other comprehensive income (loss), net of tax:</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808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adjustments</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80" w:type="dxa"/>
            <w:vAlign w:val="bottom"/>
            <w:gridSpan w:val="5"/>
          </w:tcPr>
          <w:p>
            <w:pPr>
              <w:spacing w:after="0"/>
              <w:rPr>
                <w:sz w:val="20"/>
                <w:szCs w:val="20"/>
                <w:color w:val="auto"/>
              </w:rPr>
            </w:pPr>
            <w:r>
              <w:rPr>
                <w:rFonts w:ascii="Arial" w:cs="Arial" w:eastAsia="Arial" w:hAnsi="Arial"/>
                <w:sz w:val="15"/>
                <w:szCs w:val="15"/>
                <w:b w:val="1"/>
                <w:bCs w:val="1"/>
                <w:color w:val="auto"/>
              </w:rPr>
              <w:t>Comprehensive loss</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(553)</w:t>
            </w: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(102,546)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Net loss attributable to common shareholders: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Net loss</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Adjustments of redeemable convertible preferred stock to redemption value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(24,462)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gridSpan w:val="2"/>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b w:val="1"/>
                <w:bCs w:val="1"/>
                <w:color w:val="auto"/>
              </w:rPr>
              <w:t>Net loss attributable to common shareholders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(510)</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80" w:type="dxa"/>
            <w:vAlign w:val="bottom"/>
            <w:gridSpan w:val="5"/>
          </w:tcPr>
          <w:p>
            <w:pPr>
              <w:spacing w:after="0"/>
              <w:rPr>
                <w:sz w:val="20"/>
                <w:szCs w:val="20"/>
                <w:color w:val="auto"/>
              </w:rPr>
            </w:pPr>
            <w:r>
              <w:rPr>
                <w:rFonts w:ascii="Arial" w:cs="Arial" w:eastAsia="Arial" w:hAnsi="Arial"/>
                <w:sz w:val="15"/>
                <w:szCs w:val="15"/>
                <w:color w:val="auto"/>
              </w:rPr>
              <w:t>Net loss per share attributable to common shareholders, basic and diluted</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0.00</w:t>
            </w:r>
          </w:p>
        </w:tc>
        <w:tc>
          <w:tcPr>
            <w:tcW w:w="60" w:type="dxa"/>
            <w:vAlign w:val="bottom"/>
          </w:tcPr>
          <w:p>
            <w:pPr>
              <w:spacing w:after="0"/>
              <w:rPr>
                <w:sz w:val="15"/>
                <w:szCs w:val="15"/>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Weighted-average shares used in computing net loss per share attributable to common shareholders, 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282,562,013</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35,623,042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CONDENSED CONSOLIDATED STATEMENTS OF REDEEMABLE CONVERTIBLE PREFERRED STOCK AND SHAREHOLDERS’ EQUITY (DEFICIT)</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11"/>
          </w:tcPr>
          <w:p>
            <w:pPr>
              <w:ind w:left="900"/>
              <w:spacing w:after="0"/>
              <w:rPr>
                <w:sz w:val="20"/>
                <w:szCs w:val="20"/>
                <w:color w:val="auto"/>
              </w:rPr>
            </w:pPr>
            <w:r>
              <w:rPr>
                <w:rFonts w:ascii="Arial" w:cs="Arial" w:eastAsia="Arial" w:hAnsi="Arial"/>
                <w:sz w:val="15"/>
                <w:szCs w:val="15"/>
                <w:b w:val="1"/>
                <w:bCs w:val="1"/>
                <w:color w:val="auto"/>
              </w:rPr>
              <w:t>Three Months Ended March 31, 2026</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5"/>
            <w:vMerge w:val="restart"/>
          </w:tcPr>
          <w:p>
            <w:pPr>
              <w:ind w:left="480"/>
              <w:spacing w:after="0"/>
              <w:rPr>
                <w:sz w:val="20"/>
                <w:szCs w:val="20"/>
                <w:color w:val="auto"/>
              </w:rPr>
            </w:pPr>
            <w:r>
              <w:rPr>
                <w:rFonts w:ascii="Arial" w:cs="Arial" w:eastAsia="Arial" w:hAnsi="Arial"/>
                <w:sz w:val="15"/>
                <w:szCs w:val="15"/>
                <w:b w:val="1"/>
                <w:bCs w:val="1"/>
                <w:color w:val="auto"/>
              </w:rPr>
              <w:t>Common Stock</w:t>
            </w:r>
          </w:p>
        </w:tc>
        <w:tc>
          <w:tcPr>
            <w:tcW w:w="2100" w:type="dxa"/>
            <w:vAlign w:val="bottom"/>
            <w:gridSpan w:val="5"/>
            <w:vMerge w:val="restart"/>
          </w:tcPr>
          <w:p>
            <w:pPr>
              <w:ind w:left="480"/>
              <w:spacing w:after="0"/>
              <w:rPr>
                <w:sz w:val="20"/>
                <w:szCs w:val="20"/>
                <w:color w:val="auto"/>
              </w:rPr>
            </w:pPr>
            <w:r>
              <w:rPr>
                <w:rFonts w:ascii="Arial" w:cs="Arial" w:eastAsia="Arial" w:hAnsi="Arial"/>
                <w:sz w:val="15"/>
                <w:szCs w:val="15"/>
                <w:b w:val="1"/>
                <w:bCs w:val="1"/>
                <w:color w:val="auto"/>
              </w:rPr>
              <w:t>Treasury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rPr>
              <w:t>Accumulated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line="166" w:lineRule="exact"/>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80"/>
              <w:spacing w:after="0" w:line="166"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4"/>
                <w:szCs w:val="14"/>
                <w:color w:val="auto"/>
              </w:rPr>
            </w:pPr>
          </w:p>
        </w:tc>
        <w:tc>
          <w:tcPr>
            <w:tcW w:w="860" w:type="dxa"/>
            <w:vAlign w:val="bottom"/>
          </w:tcPr>
          <w:p>
            <w:pPr>
              <w:jc w:val="right"/>
              <w:ind w:right="283"/>
              <w:spacing w:after="0" w:line="16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4"/>
        </w:trPr>
        <w:tc>
          <w:tcPr>
            <w:tcW w:w="2560" w:type="dxa"/>
            <w:vAlign w:val="bottom"/>
            <w:gridSpan w:val="3"/>
          </w:tcPr>
          <w:p>
            <w:pPr>
              <w:spacing w:after="0" w:line="164" w:lineRule="exact"/>
              <w:rPr>
                <w:sz w:val="20"/>
                <w:szCs w:val="20"/>
                <w:color w:val="auto"/>
              </w:rPr>
            </w:pPr>
            <w:r>
              <w:rPr>
                <w:rFonts w:ascii="Arial" w:cs="Arial" w:eastAsia="Arial" w:hAnsi="Arial"/>
                <w:sz w:val="15"/>
                <w:szCs w:val="15"/>
                <w:b w:val="1"/>
                <w:bCs w:val="1"/>
                <w:color w:val="auto"/>
              </w:rPr>
              <w:t>(amounts in thousands, except</w:t>
            </w: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line="164" w:lineRule="exact"/>
              <w:rPr>
                <w:sz w:val="20"/>
                <w:szCs w:val="20"/>
                <w:color w:val="auto"/>
              </w:rPr>
            </w:pPr>
            <w:r>
              <w:rPr>
                <w:rFonts w:ascii="Arial" w:cs="Arial" w:eastAsia="Arial" w:hAnsi="Arial"/>
                <w:sz w:val="15"/>
                <w:szCs w:val="15"/>
                <w:b w:val="1"/>
                <w:bCs w:val="1"/>
                <w:color w:val="auto"/>
                <w:w w:val="99"/>
              </w:rPr>
              <w:t>Paid-In</w:t>
            </w:r>
          </w:p>
        </w:tc>
        <w:tc>
          <w:tcPr>
            <w:tcW w:w="1080" w:type="dxa"/>
            <w:vAlign w:val="bottom"/>
            <w:gridSpan w:val="3"/>
          </w:tcPr>
          <w:p>
            <w:pPr>
              <w:ind w:left="20"/>
              <w:spacing w:after="0" w:line="164" w:lineRule="exact"/>
              <w:rPr>
                <w:sz w:val="20"/>
                <w:szCs w:val="20"/>
                <w:color w:val="auto"/>
              </w:rPr>
            </w:pPr>
            <w:r>
              <w:rPr>
                <w:rFonts w:ascii="Arial" w:cs="Arial" w:eastAsia="Arial" w:hAnsi="Arial"/>
                <w:sz w:val="15"/>
                <w:szCs w:val="15"/>
                <w:b w:val="1"/>
                <w:bCs w:val="1"/>
                <w:color w:val="auto"/>
              </w:rPr>
              <w:t>Accumulated</w:t>
            </w:r>
          </w:p>
        </w:tc>
        <w:tc>
          <w:tcPr>
            <w:tcW w:w="1260" w:type="dxa"/>
            <w:vAlign w:val="bottom"/>
            <w:gridSpan w:val="3"/>
          </w:tcPr>
          <w:p>
            <w:pPr>
              <w:jc w:val="center"/>
              <w:ind w:right="60"/>
              <w:spacing w:after="0" w:line="164" w:lineRule="exact"/>
              <w:rPr>
                <w:sz w:val="20"/>
                <w:szCs w:val="20"/>
                <w:color w:val="auto"/>
              </w:rPr>
            </w:pPr>
            <w:r>
              <w:rPr>
                <w:rFonts w:ascii="Arial" w:cs="Arial" w:eastAsia="Arial" w:hAnsi="Arial"/>
                <w:sz w:val="15"/>
                <w:szCs w:val="15"/>
                <w:b w:val="1"/>
                <w:bCs w:val="1"/>
                <w:color w:val="auto"/>
              </w:rPr>
              <w:t>Comprehensive</w:t>
            </w:r>
          </w:p>
        </w:tc>
        <w:tc>
          <w:tcPr>
            <w:tcW w:w="1060" w:type="dxa"/>
            <w:vAlign w:val="bottom"/>
            <w:gridSpan w:val="2"/>
          </w:tcPr>
          <w:p>
            <w:pPr>
              <w:ind w:left="20"/>
              <w:spacing w:after="0" w:line="164" w:lineRule="exact"/>
              <w:rPr>
                <w:sz w:val="20"/>
                <w:szCs w:val="20"/>
                <w:color w:val="auto"/>
              </w:rPr>
            </w:pPr>
            <w:r>
              <w:rPr>
                <w:rFonts w:ascii="Arial" w:cs="Arial" w:eastAsia="Arial" w:hAnsi="Arial"/>
                <w:sz w:val="15"/>
                <w:szCs w:val="15"/>
                <w:b w:val="1"/>
                <w:bCs w:val="1"/>
                <w:color w:val="auto"/>
              </w:rPr>
              <w:t>Shareholders'</w:t>
            </w:r>
          </w:p>
        </w:tc>
        <w:tc>
          <w:tcPr>
            <w:tcW w:w="0" w:type="dxa"/>
            <w:vAlign w:val="bottom"/>
          </w:tcPr>
          <w:p>
            <w:pPr>
              <w:spacing w:after="0"/>
              <w:rPr>
                <w:sz w:val="1"/>
                <w:szCs w:val="1"/>
                <w:color w:val="auto"/>
              </w:rPr>
            </w:pPr>
          </w:p>
        </w:tc>
      </w:tr>
      <w:tr>
        <w:trPr>
          <w:trHeight w:val="164"/>
        </w:trPr>
        <w:tc>
          <w:tcPr>
            <w:tcW w:w="226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5"/>
                <w:szCs w:val="15"/>
                <w:b w:val="1"/>
                <w:bCs w:val="1"/>
                <w:color w:val="auto"/>
              </w:rPr>
              <w:t>share data)</w:t>
            </w:r>
          </w:p>
        </w:tc>
        <w:tc>
          <w:tcPr>
            <w:tcW w:w="300" w:type="dxa"/>
            <w:vAlign w:val="bottom"/>
          </w:tcPr>
          <w:p>
            <w:pPr>
              <w:spacing w:after="0"/>
              <w:rPr>
                <w:sz w:val="14"/>
                <w:szCs w:val="14"/>
                <w:color w:val="auto"/>
              </w:rPr>
            </w:pPr>
          </w:p>
        </w:tc>
        <w:tc>
          <w:tcPr>
            <w:tcW w:w="1080" w:type="dxa"/>
            <w:vAlign w:val="bottom"/>
            <w:gridSpan w:val="2"/>
          </w:tcPr>
          <w:p>
            <w:pPr>
              <w:ind w:left="260"/>
              <w:spacing w:after="0" w:line="164" w:lineRule="exact"/>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ind w:left="40"/>
              <w:spacing w:after="0" w:line="164" w:lineRule="exact"/>
              <w:rPr>
                <w:sz w:val="20"/>
                <w:szCs w:val="20"/>
                <w:color w:val="auto"/>
              </w:rPr>
            </w:pPr>
            <w:r>
              <w:rPr>
                <w:rFonts w:ascii="Arial" w:cs="Arial" w:eastAsia="Arial" w:hAnsi="Arial"/>
                <w:sz w:val="15"/>
                <w:szCs w:val="15"/>
                <w:b w:val="1"/>
                <w:bCs w:val="1"/>
                <w:color w:val="auto"/>
              </w:rPr>
              <w:t>Amount</w:t>
            </w:r>
          </w:p>
        </w:tc>
        <w:tc>
          <w:tcPr>
            <w:tcW w:w="1060" w:type="dxa"/>
            <w:vAlign w:val="bottom"/>
            <w:gridSpan w:val="2"/>
          </w:tcPr>
          <w:p>
            <w:pPr>
              <w:ind w:left="240"/>
              <w:spacing w:after="0" w:line="164" w:lineRule="exact"/>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ind w:left="40"/>
              <w:spacing w:after="0" w:line="164" w:lineRule="exact"/>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4"/>
                <w:szCs w:val="14"/>
                <w:color w:val="auto"/>
              </w:rPr>
            </w:pPr>
          </w:p>
        </w:tc>
        <w:tc>
          <w:tcPr>
            <w:tcW w:w="960" w:type="dxa"/>
            <w:vAlign w:val="bottom"/>
            <w:gridSpan w:val="2"/>
          </w:tcPr>
          <w:p>
            <w:pPr>
              <w:jc w:val="center"/>
              <w:ind w:right="180"/>
              <w:spacing w:after="0" w:line="164" w:lineRule="exact"/>
              <w:rPr>
                <w:sz w:val="20"/>
                <w:szCs w:val="20"/>
                <w:color w:val="auto"/>
              </w:rPr>
            </w:pPr>
            <w:r>
              <w:rPr>
                <w:rFonts w:ascii="Arial" w:cs="Arial" w:eastAsia="Arial" w:hAnsi="Arial"/>
                <w:sz w:val="15"/>
                <w:szCs w:val="15"/>
                <w:b w:val="1"/>
                <w:bCs w:val="1"/>
                <w:color w:val="auto"/>
                <w:w w:val="99"/>
              </w:rPr>
              <w:t>Capital</w:t>
            </w:r>
          </w:p>
        </w:tc>
        <w:tc>
          <w:tcPr>
            <w:tcW w:w="160" w:type="dxa"/>
            <w:vAlign w:val="bottom"/>
          </w:tcPr>
          <w:p>
            <w:pPr>
              <w:spacing w:after="0"/>
              <w:rPr>
                <w:sz w:val="14"/>
                <w:szCs w:val="14"/>
                <w:color w:val="auto"/>
              </w:rPr>
            </w:pPr>
          </w:p>
        </w:tc>
        <w:tc>
          <w:tcPr>
            <w:tcW w:w="920" w:type="dxa"/>
            <w:vAlign w:val="bottom"/>
            <w:gridSpan w:val="2"/>
          </w:tcPr>
          <w:p>
            <w:pPr>
              <w:ind w:left="120"/>
              <w:spacing w:after="0" w:line="164" w:lineRule="exact"/>
              <w:rPr>
                <w:sz w:val="20"/>
                <w:szCs w:val="20"/>
                <w:color w:val="auto"/>
              </w:rPr>
            </w:pPr>
            <w:r>
              <w:rPr>
                <w:rFonts w:ascii="Arial" w:cs="Arial" w:eastAsia="Arial" w:hAnsi="Arial"/>
                <w:sz w:val="15"/>
                <w:szCs w:val="15"/>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line="164"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4"/>
                <w:szCs w:val="14"/>
                <w:color w:val="auto"/>
              </w:rPr>
            </w:pPr>
          </w:p>
        </w:tc>
        <w:tc>
          <w:tcPr>
            <w:tcW w:w="860" w:type="dxa"/>
            <w:vAlign w:val="bottom"/>
          </w:tcPr>
          <w:p>
            <w:pPr>
              <w:jc w:val="right"/>
              <w:ind w:right="223"/>
              <w:spacing w:after="0" w:line="164" w:lineRule="exact"/>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37"/>
        </w:trPr>
        <w:tc>
          <w:tcPr>
            <w:tcW w:w="820" w:type="dxa"/>
            <w:vAlign w:val="bottom"/>
            <w:tcBorders>
              <w:top w:val="single" w:sz="8" w:color="auto"/>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Balances at December 31, 2025</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282,526,097</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1,611,713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(16,896)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3,141,720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(2,548,736)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936</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577,307</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60" w:type="dxa"/>
            <w:vAlign w:val="bottom"/>
            <w:gridSpan w:val="3"/>
          </w:tcPr>
          <w:p>
            <w:pPr>
              <w:spacing w:after="0"/>
              <w:rPr>
                <w:sz w:val="20"/>
                <w:szCs w:val="20"/>
                <w:color w:val="auto"/>
              </w:rPr>
            </w:pPr>
            <w:r>
              <w:rPr>
                <w:rFonts w:ascii="Arial" w:cs="Arial" w:eastAsia="Arial" w:hAnsi="Arial"/>
                <w:sz w:val="15"/>
                <w:szCs w:val="15"/>
                <w:color w:val="auto"/>
              </w:rPr>
              <w:t>Stock-based compensation</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19,216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15,872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15,872</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Issuance of common stock upon</w:t>
            </w: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exercise of stock options</w:t>
            </w: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135,264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921</w:t>
            </w:r>
          </w:p>
        </w:tc>
        <w:tc>
          <w:tcPr>
            <w:tcW w:w="0" w:type="dxa"/>
            <w:vAlign w:val="bottom"/>
          </w:tcPr>
          <w:p>
            <w:pPr>
              <w:spacing w:after="0"/>
              <w:rPr>
                <w:sz w:val="1"/>
                <w:szCs w:val="1"/>
                <w:color w:val="auto"/>
              </w:rPr>
            </w:pPr>
          </w:p>
        </w:tc>
      </w:tr>
      <w:tr>
        <w:trPr>
          <w:trHeight w:val="192"/>
        </w:trPr>
        <w:tc>
          <w:tcPr>
            <w:tcW w:w="2560" w:type="dxa"/>
            <w:vAlign w:val="bottom"/>
            <w:gridSpan w:val="3"/>
          </w:tcPr>
          <w:p>
            <w:pPr>
              <w:spacing w:after="0"/>
              <w:rPr>
                <w:sz w:val="20"/>
                <w:szCs w:val="20"/>
                <w:color w:val="auto"/>
              </w:rPr>
            </w:pPr>
            <w:r>
              <w:rPr>
                <w:rFonts w:ascii="Arial" w:cs="Arial" w:eastAsia="Arial" w:hAnsi="Arial"/>
                <w:sz w:val="15"/>
                <w:szCs w:val="15"/>
                <w:color w:val="auto"/>
              </w:rPr>
              <w:t>Shares withheld for taxes related to</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60" w:type="dxa"/>
            <w:vAlign w:val="bottom"/>
            <w:gridSpan w:val="3"/>
          </w:tcPr>
          <w:p>
            <w:pPr>
              <w:spacing w:after="0"/>
              <w:rPr>
                <w:sz w:val="20"/>
                <w:szCs w:val="20"/>
                <w:color w:val="auto"/>
              </w:rPr>
            </w:pPr>
            <w:r>
              <w:rPr>
                <w:rFonts w:ascii="Arial" w:cs="Arial" w:eastAsia="Arial" w:hAnsi="Arial"/>
                <w:sz w:val="15"/>
                <w:szCs w:val="15"/>
                <w:color w:val="auto"/>
              </w:rPr>
              <w:t>net exercise of options</w:t>
            </w:r>
          </w:p>
        </w:tc>
        <w:tc>
          <w:tcPr>
            <w:tcW w:w="1020" w:type="dxa"/>
            <w:vAlign w:val="bottom"/>
          </w:tcPr>
          <w:p>
            <w:pPr>
              <w:jc w:val="right"/>
              <w:spacing w:after="0"/>
              <w:rPr>
                <w:sz w:val="20"/>
                <w:szCs w:val="20"/>
                <w:color w:val="auto"/>
              </w:rPr>
            </w:pPr>
            <w:r>
              <w:rPr>
                <w:rFonts w:ascii="Arial" w:cs="Arial" w:eastAsia="Arial" w:hAnsi="Arial"/>
                <w:sz w:val="15"/>
                <w:szCs w:val="15"/>
                <w:color w:val="auto"/>
              </w:rPr>
              <w:t>(29,854)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Other comprehensive loss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9"/>
        </w:trPr>
        <w:tc>
          <w:tcPr>
            <w:tcW w:w="2560" w:type="dxa"/>
            <w:vAlign w:val="bottom"/>
            <w:gridSpan w:val="3"/>
          </w:tcPr>
          <w:p>
            <w:pPr>
              <w:spacing w:after="0"/>
              <w:rPr>
                <w:sz w:val="20"/>
                <w:szCs w:val="20"/>
                <w:color w:val="auto"/>
              </w:rPr>
            </w:pPr>
            <w:r>
              <w:rPr>
                <w:rFonts w:ascii="Arial" w:cs="Arial" w:eastAsia="Arial" w:hAnsi="Arial"/>
                <w:sz w:val="15"/>
                <w:szCs w:val="15"/>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21"/>
        </w:trPr>
        <w:tc>
          <w:tcPr>
            <w:tcW w:w="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Balances at March 31, 2026</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282,650,723</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1,611,713</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(16,896)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3,158,455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(2,549,246)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893</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593,490</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11"/>
          </w:tcPr>
          <w:p>
            <w:pPr>
              <w:ind w:left="280"/>
              <w:spacing w:after="0"/>
              <w:rPr>
                <w:sz w:val="20"/>
                <w:szCs w:val="20"/>
                <w:color w:val="auto"/>
              </w:rPr>
            </w:pPr>
            <w:r>
              <w:rPr>
                <w:rFonts w:ascii="Arial" w:cs="Arial" w:eastAsia="Arial" w:hAnsi="Arial"/>
                <w:sz w:val="15"/>
                <w:szCs w:val="15"/>
                <w:b w:val="1"/>
                <w:bCs w:val="1"/>
                <w:color w:val="auto"/>
              </w:rPr>
              <w:t>Three Months Ended March 31, 2025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right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Redeemable Convertible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Borders>
              <w:right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Preferred Stock</w:t>
            </w:r>
          </w:p>
        </w:tc>
        <w:tc>
          <w:tcPr>
            <w:tcW w:w="40" w:type="dxa"/>
            <w:vAlign w:val="bottom"/>
            <w:gridSpan w:val="2"/>
          </w:tcPr>
          <w:p>
            <w:pPr>
              <w:spacing w:after="0"/>
              <w:rPr>
                <w:sz w:val="19"/>
                <w:szCs w:val="19"/>
                <w:color w:val="auto"/>
              </w:rPr>
            </w:pPr>
          </w:p>
        </w:tc>
        <w:tc>
          <w:tcPr>
            <w:tcW w:w="1620" w:type="dxa"/>
            <w:vAlign w:val="bottom"/>
            <w:gridSpan w:val="5"/>
          </w:tcPr>
          <w:p>
            <w:pPr>
              <w:ind w:left="220"/>
              <w:spacing w:after="0"/>
              <w:rPr>
                <w:sz w:val="20"/>
                <w:szCs w:val="20"/>
                <w:color w:val="auto"/>
              </w:rPr>
            </w:pPr>
            <w:r>
              <w:rPr>
                <w:rFonts w:ascii="Arial" w:cs="Arial" w:eastAsia="Arial" w:hAnsi="Arial"/>
                <w:sz w:val="15"/>
                <w:szCs w:val="15"/>
                <w:b w:val="1"/>
                <w:bCs w:val="1"/>
                <w:color w:val="auto"/>
              </w:rPr>
              <w:t>Common Stock</w:t>
            </w:r>
          </w:p>
        </w:tc>
        <w:tc>
          <w:tcPr>
            <w:tcW w:w="1600" w:type="dxa"/>
            <w:vAlign w:val="bottom"/>
            <w:gridSpan w:val="5"/>
          </w:tcPr>
          <w:p>
            <w:pPr>
              <w:ind w:left="220"/>
              <w:spacing w:after="0"/>
              <w:rPr>
                <w:sz w:val="20"/>
                <w:szCs w:val="20"/>
                <w:color w:val="auto"/>
              </w:rPr>
            </w:pPr>
            <w:r>
              <w:rPr>
                <w:rFonts w:ascii="Arial" w:cs="Arial" w:eastAsia="Arial" w:hAnsi="Arial"/>
                <w:sz w:val="15"/>
                <w:szCs w:val="15"/>
                <w:b w:val="1"/>
                <w:bCs w:val="1"/>
                <w:color w:val="auto"/>
              </w:rPr>
              <w:t>Treasury Stock</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rPr>
              <w:t>Related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80" w:type="dxa"/>
            <w:vAlign w:val="bottom"/>
            <w:tcBorders>
              <w:bottom w:val="single" w:sz="8" w:color="auto"/>
            </w:tcBorders>
            <w:gridSpan w:val="3"/>
          </w:tcPr>
          <w:p>
            <w:pPr>
              <w:spacing w:after="0" w:line="152" w:lineRule="exact"/>
              <w:rPr>
                <w:sz w:val="20"/>
                <w:szCs w:val="20"/>
                <w:color w:val="auto"/>
              </w:rPr>
            </w:pPr>
            <w:r>
              <w:rPr>
                <w:rFonts w:ascii="Arial" w:cs="Arial" w:eastAsia="Arial" w:hAnsi="Arial"/>
                <w:sz w:val="15"/>
                <w:szCs w:val="15"/>
                <w:b w:val="1"/>
                <w:bCs w:val="1"/>
                <w:color w:val="auto"/>
              </w:rPr>
              <w:t>(amounts in</w:t>
            </w:r>
          </w:p>
        </w:tc>
        <w:tc>
          <w:tcPr>
            <w:tcW w:w="200" w:type="dxa"/>
            <w:vAlign w:val="bottom"/>
            <w:gridSpan w:val="2"/>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2" w:lineRule="exact"/>
              <w:rPr>
                <w:sz w:val="20"/>
                <w:szCs w:val="20"/>
                <w:color w:val="auto"/>
              </w:rPr>
            </w:pPr>
            <w:r>
              <w:rPr>
                <w:rFonts w:ascii="Arial" w:cs="Arial" w:eastAsia="Arial" w:hAnsi="Arial"/>
                <w:sz w:val="15"/>
                <w:szCs w:val="15"/>
                <w:b w:val="1"/>
                <w:bCs w:val="1"/>
                <w:color w:val="auto"/>
              </w:rPr>
              <w:t>Party</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2"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gridSpan w:val="5"/>
          </w:tcPr>
          <w:p>
            <w:pPr>
              <w:spacing w:after="0" w:line="164" w:lineRule="exact"/>
              <w:rPr>
                <w:sz w:val="20"/>
                <w:szCs w:val="20"/>
                <w:color w:val="auto"/>
              </w:rPr>
            </w:pPr>
            <w:r>
              <w:rPr>
                <w:rFonts w:ascii="Arial" w:cs="Arial" w:eastAsia="Arial" w:hAnsi="Arial"/>
                <w:sz w:val="15"/>
                <w:szCs w:val="15"/>
                <w:b w:val="1"/>
                <w:bCs w:val="1"/>
                <w:color w:val="auto"/>
              </w:rPr>
              <w:t>thousands,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spacing w:after="0" w:line="164" w:lineRule="exact"/>
              <w:rPr>
                <w:sz w:val="20"/>
                <w:szCs w:val="20"/>
                <w:color w:val="auto"/>
              </w:rPr>
            </w:pPr>
            <w:r>
              <w:rPr>
                <w:rFonts w:ascii="Arial" w:cs="Arial" w:eastAsia="Arial" w:hAnsi="Arial"/>
                <w:sz w:val="15"/>
                <w:szCs w:val="15"/>
                <w:b w:val="1"/>
                <w:bCs w:val="1"/>
                <w:color w:val="auto"/>
              </w:rPr>
              <w:t>Additional</w:t>
            </w:r>
          </w:p>
        </w:tc>
        <w:tc>
          <w:tcPr>
            <w:tcW w:w="940" w:type="dxa"/>
            <w:vAlign w:val="bottom"/>
            <w:gridSpan w:val="3"/>
          </w:tcPr>
          <w:p>
            <w:pPr>
              <w:jc w:val="center"/>
              <w:ind w:right="60"/>
              <w:spacing w:after="0" w:line="164" w:lineRule="exact"/>
              <w:rPr>
                <w:sz w:val="20"/>
                <w:szCs w:val="20"/>
                <w:color w:val="auto"/>
              </w:rPr>
            </w:pPr>
            <w:r>
              <w:rPr>
                <w:rFonts w:ascii="Arial" w:cs="Arial" w:eastAsia="Arial" w:hAnsi="Arial"/>
                <w:sz w:val="15"/>
                <w:szCs w:val="15"/>
                <w:b w:val="1"/>
                <w:bCs w:val="1"/>
                <w:color w:val="auto"/>
              </w:rPr>
              <w:t>Promissory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4" w:lineRule="exact"/>
              <w:rPr>
                <w:sz w:val="20"/>
                <w:szCs w:val="20"/>
                <w:color w:val="auto"/>
              </w:rPr>
            </w:pPr>
            <w:r>
              <w:rPr>
                <w:rFonts w:ascii="Arial" w:cs="Arial" w:eastAsia="Arial" w:hAnsi="Arial"/>
                <w:sz w:val="15"/>
                <w:szCs w:val="15"/>
                <w:b w:val="1"/>
                <w:bCs w:val="1"/>
                <w:color w:val="auto"/>
                <w:w w:val="99"/>
              </w:rPr>
              <w:t>Other</w:t>
            </w:r>
          </w:p>
        </w:tc>
        <w:tc>
          <w:tcPr>
            <w:tcW w:w="160" w:type="dxa"/>
            <w:vAlign w:val="bottom"/>
          </w:tcPr>
          <w:p>
            <w:pPr>
              <w:spacing w:after="0"/>
              <w:rPr>
                <w:sz w:val="14"/>
                <w:szCs w:val="14"/>
                <w:color w:val="auto"/>
              </w:rPr>
            </w:pPr>
          </w:p>
        </w:tc>
        <w:tc>
          <w:tcPr>
            <w:tcW w:w="880" w:type="dxa"/>
            <w:vAlign w:val="bottom"/>
          </w:tcPr>
          <w:p>
            <w:pPr>
              <w:jc w:val="right"/>
              <w:ind w:right="263"/>
              <w:spacing w:after="0" w:line="164"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Paid-In</w:t>
            </w:r>
          </w:p>
        </w:tc>
        <w:tc>
          <w:tcPr>
            <w:tcW w:w="14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rPr>
              <w:t>Note</w:t>
            </w:r>
          </w:p>
        </w:tc>
        <w:tc>
          <w:tcPr>
            <w:tcW w:w="108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Accumulated</w:t>
            </w:r>
          </w:p>
        </w:tc>
        <w:tc>
          <w:tcPr>
            <w:tcW w:w="124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rPr>
              <w:t>Comprehensive</w:t>
            </w:r>
          </w:p>
        </w:tc>
        <w:tc>
          <w:tcPr>
            <w:tcW w:w="10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Shareholders'</w:t>
            </w:r>
          </w:p>
        </w:tc>
        <w:tc>
          <w:tcPr>
            <w:tcW w:w="0" w:type="dxa"/>
            <w:vAlign w:val="bottom"/>
          </w:tcPr>
          <w:p>
            <w:pPr>
              <w:spacing w:after="0" w:line="20" w:lineRule="exact"/>
              <w:rPr>
                <w:sz w:val="1"/>
                <w:szCs w:val="1"/>
                <w:color w:val="auto"/>
              </w:rPr>
            </w:pPr>
          </w:p>
        </w:tc>
      </w:tr>
      <w:tr>
        <w:trPr>
          <w:trHeight w:val="164"/>
        </w:trPr>
        <w:tc>
          <w:tcPr>
            <w:tcW w:w="1080" w:type="dxa"/>
            <w:vAlign w:val="bottom"/>
            <w:gridSpan w:val="5"/>
          </w:tcPr>
          <w:p>
            <w:pPr>
              <w:spacing w:after="0" w:line="164" w:lineRule="exact"/>
              <w:rPr>
                <w:sz w:val="20"/>
                <w:szCs w:val="20"/>
                <w:color w:val="auto"/>
              </w:rPr>
            </w:pPr>
            <w:r>
              <w:rPr>
                <w:rFonts w:ascii="Arial" w:cs="Arial" w:eastAsia="Arial" w:hAnsi="Arial"/>
                <w:sz w:val="15"/>
                <w:szCs w:val="15"/>
                <w:b w:val="1"/>
                <w:bCs w:val="1"/>
                <w:color w:val="auto"/>
              </w:rPr>
              <w:t>except share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40" w:type="dxa"/>
            <w:vAlign w:val="bottom"/>
            <w:tcBorders>
              <w:top w:val="single" w:sz="8" w:color="auto"/>
            </w:tcBorders>
            <w:gridSpan w:val="4"/>
          </w:tcPr>
          <w:p>
            <w:pPr>
              <w:spacing w:after="0" w:line="164" w:lineRule="exact"/>
              <w:rPr>
                <w:sz w:val="20"/>
                <w:szCs w:val="20"/>
                <w:color w:val="auto"/>
              </w:rPr>
            </w:pPr>
            <w:r>
              <w:rPr>
                <w:rFonts w:ascii="Arial" w:cs="Arial" w:eastAsia="Arial" w:hAnsi="Arial"/>
                <w:sz w:val="15"/>
                <w:szCs w:val="15"/>
                <w:b w:val="1"/>
                <w:bCs w:val="1"/>
                <w:color w:val="auto"/>
              </w:rPr>
              <w:t>data)</w:t>
            </w:r>
          </w:p>
        </w:tc>
        <w:tc>
          <w:tcPr>
            <w:tcW w:w="140" w:type="dxa"/>
            <w:vAlign w:val="bottom"/>
          </w:tcPr>
          <w:p>
            <w:pPr>
              <w:spacing w:after="0"/>
              <w:rPr>
                <w:sz w:val="14"/>
                <w:szCs w:val="14"/>
                <w:color w:val="auto"/>
              </w:rPr>
            </w:pPr>
          </w:p>
        </w:tc>
        <w:tc>
          <w:tcPr>
            <w:tcW w:w="1000" w:type="dxa"/>
            <w:vAlign w:val="bottom"/>
            <w:gridSpan w:val="2"/>
          </w:tcPr>
          <w:p>
            <w:pPr>
              <w:ind w:left="200"/>
              <w:spacing w:after="0" w:line="164" w:lineRule="exact"/>
              <w:rPr>
                <w:sz w:val="20"/>
                <w:szCs w:val="20"/>
                <w:color w:val="auto"/>
              </w:rPr>
            </w:pPr>
            <w:r>
              <w:rPr>
                <w:rFonts w:ascii="Arial" w:cs="Arial" w:eastAsia="Arial" w:hAnsi="Arial"/>
                <w:sz w:val="15"/>
                <w:szCs w:val="15"/>
                <w:b w:val="1"/>
                <w:bCs w:val="1"/>
                <w:color w:val="auto"/>
              </w:rPr>
              <w:t>Shares</w:t>
            </w:r>
          </w:p>
        </w:tc>
        <w:tc>
          <w:tcPr>
            <w:tcW w:w="860" w:type="dxa"/>
            <w:vAlign w:val="bottom"/>
            <w:tcBorders>
              <w:right w:val="single" w:sz="8" w:color="auto"/>
            </w:tcBorders>
          </w:tcPr>
          <w:p>
            <w:pPr>
              <w:jc w:val="right"/>
              <w:ind w:right="83"/>
              <w:spacing w:after="0" w:line="164" w:lineRule="exact"/>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60"/>
              <w:spacing w:after="0" w:line="164" w:lineRule="exact"/>
              <w:rPr>
                <w:sz w:val="20"/>
                <w:szCs w:val="20"/>
                <w:color w:val="auto"/>
              </w:rPr>
            </w:pPr>
            <w:r>
              <w:rPr>
                <w:rFonts w:ascii="Arial" w:cs="Arial" w:eastAsia="Arial" w:hAnsi="Arial"/>
                <w:sz w:val="15"/>
                <w:szCs w:val="15"/>
                <w:b w:val="1"/>
                <w:bCs w:val="1"/>
                <w:color w:val="auto"/>
                <w:w w:val="99"/>
              </w:rPr>
              <w:t>Shares</w:t>
            </w:r>
          </w:p>
        </w:tc>
        <w:tc>
          <w:tcPr>
            <w:tcW w:w="700" w:type="dxa"/>
            <w:vAlign w:val="bottom"/>
            <w:gridSpan w:val="3"/>
          </w:tcPr>
          <w:p>
            <w:pPr>
              <w:ind w:left="20"/>
              <w:spacing w:after="0" w:line="164" w:lineRule="exact"/>
              <w:rPr>
                <w:sz w:val="20"/>
                <w:szCs w:val="20"/>
                <w:color w:val="auto"/>
              </w:rPr>
            </w:pPr>
            <w:r>
              <w:rPr>
                <w:rFonts w:ascii="Arial" w:cs="Arial" w:eastAsia="Arial" w:hAnsi="Arial"/>
                <w:sz w:val="15"/>
                <w:szCs w:val="15"/>
                <w:b w:val="1"/>
                <w:bCs w:val="1"/>
                <w:color w:val="auto"/>
              </w:rPr>
              <w:t>Amount</w:t>
            </w:r>
          </w:p>
        </w:tc>
        <w:tc>
          <w:tcPr>
            <w:tcW w:w="820" w:type="dxa"/>
            <w:vAlign w:val="bottom"/>
            <w:gridSpan w:val="2"/>
          </w:tcPr>
          <w:p>
            <w:pPr>
              <w:ind w:left="120"/>
              <w:spacing w:after="0" w:line="164" w:lineRule="exact"/>
              <w:rPr>
                <w:sz w:val="20"/>
                <w:szCs w:val="20"/>
                <w:color w:val="auto"/>
              </w:rPr>
            </w:pPr>
            <w:r>
              <w:rPr>
                <w:rFonts w:ascii="Arial" w:cs="Arial" w:eastAsia="Arial" w:hAnsi="Arial"/>
                <w:sz w:val="15"/>
                <w:szCs w:val="15"/>
                <w:b w:val="1"/>
                <w:bCs w:val="1"/>
                <w:color w:val="auto"/>
              </w:rPr>
              <w:t>Shares</w:t>
            </w:r>
          </w:p>
        </w:tc>
        <w:tc>
          <w:tcPr>
            <w:tcW w:w="780" w:type="dxa"/>
            <w:vAlign w:val="bottom"/>
            <w:gridSpan w:val="3"/>
          </w:tcPr>
          <w:p>
            <w:pPr>
              <w:jc w:val="right"/>
              <w:ind w:right="140"/>
              <w:spacing w:after="0" w:line="164" w:lineRule="exact"/>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4"/>
                <w:szCs w:val="14"/>
                <w:color w:val="auto"/>
              </w:rPr>
            </w:pPr>
          </w:p>
        </w:tc>
        <w:tc>
          <w:tcPr>
            <w:tcW w:w="720" w:type="dxa"/>
            <w:vAlign w:val="bottom"/>
            <w:gridSpan w:val="2"/>
          </w:tcPr>
          <w:p>
            <w:pPr>
              <w:spacing w:after="0" w:line="164" w:lineRule="exact"/>
              <w:rPr>
                <w:sz w:val="20"/>
                <w:szCs w:val="20"/>
                <w:color w:val="auto"/>
              </w:rPr>
            </w:pPr>
            <w:r>
              <w:rPr>
                <w:rFonts w:ascii="Arial" w:cs="Arial" w:eastAsia="Arial" w:hAnsi="Arial"/>
                <w:sz w:val="15"/>
                <w:szCs w:val="15"/>
                <w:b w:val="1"/>
                <w:bCs w:val="1"/>
                <w:color w:val="auto"/>
              </w:rPr>
              <w:t>Capital</w:t>
            </w:r>
          </w:p>
        </w:tc>
        <w:tc>
          <w:tcPr>
            <w:tcW w:w="940" w:type="dxa"/>
            <w:vAlign w:val="bottom"/>
            <w:gridSpan w:val="3"/>
          </w:tcPr>
          <w:p>
            <w:pPr>
              <w:jc w:val="center"/>
              <w:ind w:right="60"/>
              <w:spacing w:after="0" w:line="164" w:lineRule="exact"/>
              <w:rPr>
                <w:sz w:val="20"/>
                <w:szCs w:val="20"/>
                <w:color w:val="auto"/>
              </w:rPr>
            </w:pPr>
            <w:r>
              <w:rPr>
                <w:rFonts w:ascii="Arial" w:cs="Arial" w:eastAsia="Arial" w:hAnsi="Arial"/>
                <w:sz w:val="15"/>
                <w:szCs w:val="15"/>
                <w:b w:val="1"/>
                <w:bCs w:val="1"/>
                <w:color w:val="auto"/>
              </w:rPr>
              <w:t>Receivable</w:t>
            </w:r>
          </w:p>
        </w:tc>
        <w:tc>
          <w:tcPr>
            <w:tcW w:w="160" w:type="dxa"/>
            <w:vAlign w:val="bottom"/>
          </w:tcPr>
          <w:p>
            <w:pPr>
              <w:spacing w:after="0"/>
              <w:rPr>
                <w:sz w:val="14"/>
                <w:szCs w:val="14"/>
                <w:color w:val="auto"/>
              </w:rPr>
            </w:pPr>
          </w:p>
        </w:tc>
        <w:tc>
          <w:tcPr>
            <w:tcW w:w="920" w:type="dxa"/>
            <w:vAlign w:val="bottom"/>
            <w:gridSpan w:val="2"/>
          </w:tcPr>
          <w:p>
            <w:pPr>
              <w:ind w:left="100"/>
              <w:spacing w:after="0" w:line="164" w:lineRule="exact"/>
              <w:rPr>
                <w:sz w:val="20"/>
                <w:szCs w:val="20"/>
                <w:color w:val="auto"/>
              </w:rPr>
            </w:pPr>
            <w:r>
              <w:rPr>
                <w:rFonts w:ascii="Arial" w:cs="Arial" w:eastAsia="Arial" w:hAnsi="Arial"/>
                <w:sz w:val="15"/>
                <w:szCs w:val="15"/>
                <w:b w:val="1"/>
                <w:bCs w:val="1"/>
                <w:color w:val="auto"/>
              </w:rPr>
              <w:t>Deficit</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4" w:lineRule="exact"/>
              <w:rPr>
                <w:sz w:val="20"/>
                <w:szCs w:val="20"/>
                <w:color w:val="auto"/>
              </w:rPr>
            </w:pPr>
            <w:r>
              <w:rPr>
                <w:rFonts w:ascii="Arial" w:cs="Arial" w:eastAsia="Arial" w:hAnsi="Arial"/>
                <w:sz w:val="15"/>
                <w:szCs w:val="15"/>
                <w:b w:val="1"/>
                <w:bCs w:val="1"/>
                <w:color w:val="auto"/>
              </w:rPr>
              <w:t>Income</w:t>
            </w:r>
          </w:p>
        </w:tc>
        <w:tc>
          <w:tcPr>
            <w:tcW w:w="160" w:type="dxa"/>
            <w:vAlign w:val="bottom"/>
          </w:tcPr>
          <w:p>
            <w:pPr>
              <w:spacing w:after="0"/>
              <w:rPr>
                <w:sz w:val="14"/>
                <w:szCs w:val="14"/>
                <w:color w:val="auto"/>
              </w:rPr>
            </w:pPr>
          </w:p>
        </w:tc>
        <w:tc>
          <w:tcPr>
            <w:tcW w:w="880" w:type="dxa"/>
            <w:vAlign w:val="bottom"/>
          </w:tcPr>
          <w:p>
            <w:pPr>
              <w:jc w:val="right"/>
              <w:ind w:right="203"/>
              <w:spacing w:after="0" w:line="164" w:lineRule="exact"/>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37"/>
        </w:trPr>
        <w:tc>
          <w:tcPr>
            <w:tcW w:w="380" w:type="dxa"/>
            <w:vAlign w:val="bottom"/>
            <w:tcBorders>
              <w:top w:val="single" w:sz="8" w:color="auto"/>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080" w:type="dxa"/>
            <w:vAlign w:val="bottom"/>
            <w:gridSpan w:val="5"/>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Balances at</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b w:val="1"/>
                <w:bCs w:val="1"/>
                <w:color w:val="auto"/>
              </w:rPr>
              <w:t>December 31,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734,142,041</w:t>
            </w: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$2,221,651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35,842,319</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182,500</w:t>
            </w:r>
          </w:p>
        </w:tc>
        <w:tc>
          <w:tcPr>
            <w:tcW w:w="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(26,456)</w:t>
            </w:r>
          </w:p>
        </w:tc>
        <w:tc>
          <w:tcPr>
            <w:tcW w:w="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(2,472,299)</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(2,498,837)</w:t>
            </w: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2024</w:t>
            </w: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right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5"/>
                <w:szCs w:val="15"/>
                <w:color w:val="auto"/>
              </w:rPr>
              <w:t>Stock-based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80" w:type="dxa"/>
            <w:vAlign w:val="bottom"/>
            <w:gridSpan w:val="5"/>
            <w:vMerge w:val="continue"/>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080" w:type="dxa"/>
            <w:vAlign w:val="bottom"/>
            <w:gridSpan w:val="5"/>
          </w:tcPr>
          <w:p>
            <w:pPr>
              <w:spacing w:after="0"/>
              <w:rPr>
                <w:sz w:val="20"/>
                <w:szCs w:val="20"/>
                <w:color w:val="auto"/>
              </w:rPr>
            </w:pPr>
            <w:r>
              <w:rPr>
                <w:rFonts w:ascii="Arial" w:cs="Arial" w:eastAsia="Arial" w:hAnsi="Arial"/>
                <w:sz w:val="15"/>
                <w:szCs w:val="15"/>
                <w:color w:val="auto"/>
              </w:rPr>
              <w:t>compensation</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gridSpan w:val="2"/>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14,691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14,691</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Issuance of</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common stock</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upon exercise</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of stock</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options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right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833,350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1,433</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1,433</w:t>
            </w:r>
          </w:p>
        </w:tc>
        <w:tc>
          <w:tcPr>
            <w:tcW w:w="0" w:type="dxa"/>
            <w:vAlign w:val="bottom"/>
          </w:tcPr>
          <w:p>
            <w:pPr>
              <w:spacing w:after="0"/>
              <w:rPr>
                <w:sz w:val="1"/>
                <w:szCs w:val="1"/>
                <w:color w:val="auto"/>
              </w:rPr>
            </w:pPr>
          </w:p>
        </w:tc>
      </w:tr>
      <w:tr>
        <w:trPr>
          <w:trHeight w:val="192"/>
        </w:trPr>
        <w:tc>
          <w:tcPr>
            <w:tcW w:w="1080" w:type="dxa"/>
            <w:vAlign w:val="bottom"/>
            <w:gridSpan w:val="5"/>
          </w:tcPr>
          <w:p>
            <w:pPr>
              <w:spacing w:after="0"/>
              <w:rPr>
                <w:sz w:val="20"/>
                <w:szCs w:val="20"/>
                <w:color w:val="auto"/>
              </w:rPr>
            </w:pPr>
            <w:r>
              <w:rPr>
                <w:rFonts w:ascii="Arial" w:cs="Arial" w:eastAsia="Arial" w:hAnsi="Arial"/>
                <w:sz w:val="15"/>
                <w:szCs w:val="15"/>
                <w:color w:val="auto"/>
              </w:rPr>
              <w:t>Interest income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5"/>
          </w:tcPr>
          <w:p>
            <w:pPr>
              <w:spacing w:after="0"/>
              <w:rPr>
                <w:sz w:val="20"/>
                <w:szCs w:val="20"/>
                <w:color w:val="auto"/>
              </w:rPr>
            </w:pPr>
            <w:r>
              <w:rPr>
                <w:rFonts w:ascii="Arial" w:cs="Arial" w:eastAsia="Arial" w:hAnsi="Arial"/>
                <w:sz w:val="15"/>
                <w:szCs w:val="15"/>
                <w:color w:val="auto"/>
              </w:rPr>
              <w:t>from related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tcPr>
          <w:p>
            <w:pPr>
              <w:spacing w:after="0"/>
              <w:rPr>
                <w:sz w:val="20"/>
                <w:szCs w:val="20"/>
                <w:color w:val="auto"/>
              </w:rPr>
            </w:pPr>
            <w:r>
              <w:rPr>
                <w:rFonts w:ascii="Arial" w:cs="Arial" w:eastAsia="Arial" w:hAnsi="Arial"/>
                <w:sz w:val="15"/>
                <w:szCs w:val="15"/>
                <w:color w:val="auto"/>
              </w:rPr>
              <w:t>party</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tcPr>
          <w:p>
            <w:pPr>
              <w:spacing w:after="0"/>
              <w:rPr>
                <w:sz w:val="20"/>
                <w:szCs w:val="20"/>
                <w:color w:val="auto"/>
              </w:rPr>
            </w:pPr>
            <w:r>
              <w:rPr>
                <w:rFonts w:ascii="Arial" w:cs="Arial" w:eastAsia="Arial" w:hAnsi="Arial"/>
                <w:sz w:val="15"/>
                <w:szCs w:val="15"/>
                <w:color w:val="auto"/>
              </w:rPr>
              <w:t>promissory</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gridSpan w:val="5"/>
          </w:tcPr>
          <w:p>
            <w:pPr>
              <w:spacing w:after="0"/>
              <w:rPr>
                <w:sz w:val="20"/>
                <w:szCs w:val="20"/>
                <w:color w:val="auto"/>
              </w:rPr>
            </w:pPr>
            <w:r>
              <w:rPr>
                <w:rFonts w:ascii="Arial" w:cs="Arial" w:eastAsia="Arial" w:hAnsi="Arial"/>
                <w:sz w:val="15"/>
                <w:szCs w:val="15"/>
                <w:color w:val="auto"/>
              </w:rPr>
              <w:t>notes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gridSpan w:val="2"/>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Payoff of</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related party</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promissory</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notes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right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26,584</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26,584</w:t>
            </w:r>
          </w:p>
        </w:tc>
        <w:tc>
          <w:tcPr>
            <w:tcW w:w="0" w:type="dxa"/>
            <w:vAlign w:val="bottom"/>
          </w:tcPr>
          <w:p>
            <w:pPr>
              <w:spacing w:after="0"/>
              <w:rPr>
                <w:sz w:val="1"/>
                <w:szCs w:val="1"/>
                <w:color w:val="auto"/>
              </w:rPr>
            </w:pPr>
          </w:p>
        </w:tc>
      </w:tr>
      <w:tr>
        <w:trPr>
          <w:trHeight w:val="192"/>
        </w:trPr>
        <w:tc>
          <w:tcPr>
            <w:tcW w:w="1080" w:type="dxa"/>
            <w:vAlign w:val="bottom"/>
            <w:gridSpan w:val="5"/>
          </w:tcPr>
          <w:p>
            <w:pPr>
              <w:spacing w:after="0"/>
              <w:rPr>
                <w:sz w:val="20"/>
                <w:szCs w:val="20"/>
                <w:color w:val="auto"/>
              </w:rPr>
            </w:pPr>
            <w:r>
              <w:rPr>
                <w:rFonts w:ascii="Arial" w:cs="Arial" w:eastAsia="Arial" w:hAnsi="Arial"/>
                <w:sz w:val="15"/>
                <w:szCs w:val="15"/>
                <w:color w:val="auto"/>
              </w:rPr>
              <w:t>Repurchases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5"/>
          </w:tcPr>
          <w:p>
            <w:pPr>
              <w:spacing w:after="0"/>
              <w:rPr>
                <w:sz w:val="20"/>
                <w:szCs w:val="20"/>
                <w:color w:val="auto"/>
              </w:rPr>
            </w:pPr>
            <w:r>
              <w:rPr>
                <w:rFonts w:ascii="Arial" w:cs="Arial" w:eastAsia="Arial" w:hAnsi="Arial"/>
                <w:sz w:val="15"/>
                <w:szCs w:val="15"/>
                <w:color w:val="auto"/>
              </w:rPr>
              <w:t>of common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gridSpan w:val="5"/>
          </w:tcPr>
          <w:p>
            <w:pPr>
              <w:spacing w:after="0"/>
              <w:rPr>
                <w:sz w:val="20"/>
                <w:szCs w:val="20"/>
                <w:color w:val="auto"/>
              </w:rPr>
            </w:pPr>
            <w:r>
              <w:rPr>
                <w:rFonts w:ascii="Arial" w:cs="Arial" w:eastAsia="Arial" w:hAnsi="Arial"/>
                <w:sz w:val="15"/>
                <w:szCs w:val="15"/>
                <w:color w:val="auto"/>
              </w:rPr>
              <w:t>stock</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gridSpan w:val="2"/>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5"/>
                <w:szCs w:val="15"/>
                <w:color w:val="auto"/>
              </w:rPr>
              <w:t>(1,438,138)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1,438,138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(16,587)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(16,587)</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Adjustment of</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redeemable</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convertible</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preferred</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Series C and</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Series D to</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redemption</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value</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right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24,462</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(16,110)</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(24,462)</w:t>
            </w:r>
          </w:p>
        </w:tc>
        <w:tc>
          <w:tcPr>
            <w:tcW w:w="0" w:type="dxa"/>
            <w:vAlign w:val="bottom"/>
          </w:tcPr>
          <w:p>
            <w:pPr>
              <w:spacing w:after="0"/>
              <w:rPr>
                <w:sz w:val="1"/>
                <w:szCs w:val="1"/>
                <w:color w:val="auto"/>
              </w:rPr>
            </w:pPr>
          </w:p>
        </w:tc>
      </w:tr>
      <w:tr>
        <w:trPr>
          <w:trHeight w:val="192"/>
        </w:trPr>
        <w:tc>
          <w:tcPr>
            <w:tcW w:w="1080" w:type="dxa"/>
            <w:vAlign w:val="bottom"/>
            <w:gridSpan w:val="5"/>
          </w:tcPr>
          <w:p>
            <w:pPr>
              <w:spacing w:after="0"/>
              <w:rPr>
                <w:sz w:val="20"/>
                <w:szCs w:val="20"/>
                <w:color w:val="auto"/>
              </w:rPr>
            </w:pPr>
            <w:r>
              <w:rPr>
                <w:rFonts w:ascii="Arial" w:cs="Arial" w:eastAsia="Arial" w:hAnsi="Arial"/>
                <w:sz w:val="15"/>
                <w:szCs w:val="15"/>
                <w:color w:val="auto"/>
              </w:rPr>
              <w:t>Other</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0" w:type="dxa"/>
            <w:vAlign w:val="bottom"/>
            <w:gridSpan w:val="5"/>
          </w:tcPr>
          <w:p>
            <w:pPr>
              <w:spacing w:after="0"/>
              <w:rPr>
                <w:sz w:val="20"/>
                <w:szCs w:val="20"/>
                <w:color w:val="auto"/>
              </w:rPr>
            </w:pPr>
            <w:r>
              <w:rPr>
                <w:rFonts w:ascii="Arial" w:cs="Arial" w:eastAsia="Arial" w:hAnsi="Arial"/>
                <w:sz w:val="15"/>
                <w:szCs w:val="15"/>
                <w:color w:val="auto"/>
              </w:rPr>
              <w:t>comprehensive</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gridSpan w:val="5"/>
          </w:tcPr>
          <w:p>
            <w:pPr>
              <w:spacing w:after="0"/>
              <w:rPr>
                <w:sz w:val="20"/>
                <w:szCs w:val="20"/>
                <w:color w:val="auto"/>
              </w:rPr>
            </w:pPr>
            <w:r>
              <w:rPr>
                <w:rFonts w:ascii="Arial" w:cs="Arial" w:eastAsia="Arial" w:hAnsi="Arial"/>
                <w:sz w:val="15"/>
                <w:szCs w:val="15"/>
                <w:color w:val="auto"/>
              </w:rPr>
              <w:t>income</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gridSpan w:val="2"/>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auto"/>
              </w:rPr>
              <w:t>Net loss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right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(102,581)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(102,581)</w:t>
            </w:r>
          </w:p>
        </w:tc>
        <w:tc>
          <w:tcPr>
            <w:tcW w:w="0" w:type="dxa"/>
            <w:vAlign w:val="bottom"/>
          </w:tcPr>
          <w:p>
            <w:pPr>
              <w:spacing w:after="0"/>
              <w:rPr>
                <w:sz w:val="1"/>
                <w:szCs w:val="1"/>
                <w:color w:val="auto"/>
              </w:rPr>
            </w:pPr>
          </w:p>
        </w:tc>
      </w:tr>
      <w:tr>
        <w:trPr>
          <w:trHeight w:val="170"/>
        </w:trPr>
        <w:tc>
          <w:tcPr>
            <w:tcW w:w="1080" w:type="dxa"/>
            <w:vAlign w:val="bottom"/>
            <w:gridSpan w:val="5"/>
          </w:tcPr>
          <w:p>
            <w:pPr>
              <w:spacing w:after="0" w:line="170" w:lineRule="exact"/>
              <w:rPr>
                <w:sz w:val="20"/>
                <w:szCs w:val="20"/>
                <w:color w:val="auto"/>
              </w:rPr>
            </w:pPr>
            <w:r>
              <w:rPr>
                <w:rFonts w:ascii="Arial" w:cs="Arial" w:eastAsia="Arial" w:hAnsi="Arial"/>
                <w:sz w:val="15"/>
                <w:szCs w:val="15"/>
                <w:b w:val="1"/>
                <w:bCs w:val="1"/>
                <w:color w:val="auto"/>
              </w:rPr>
              <w:t>Balances at</w:t>
            </w: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80" w:type="dxa"/>
            <w:vAlign w:val="bottom"/>
            <w:gridSpan w:val="5"/>
          </w:tcPr>
          <w:p>
            <w:pPr>
              <w:spacing w:after="0"/>
              <w:rPr>
                <w:sz w:val="20"/>
                <w:szCs w:val="20"/>
                <w:color w:val="auto"/>
              </w:rPr>
            </w:pPr>
            <w:r>
              <w:rPr>
                <w:rFonts w:ascii="Arial" w:cs="Arial" w:eastAsia="Arial" w:hAnsi="Arial"/>
                <w:sz w:val="15"/>
                <w:szCs w:val="15"/>
                <w:b w:val="1"/>
                <w:bCs w:val="1"/>
                <w:color w:val="auto"/>
              </w:rPr>
              <w:t>March 31,</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734,142,041</w:t>
            </w:r>
          </w:p>
        </w:tc>
        <w:tc>
          <w:tcPr>
            <w:tcW w:w="80" w:type="dxa"/>
            <w:vAlign w:val="bottom"/>
          </w:tcPr>
          <w:p>
            <w:pPr>
              <w:spacing w:after="0"/>
              <w:rPr>
                <w:sz w:val="15"/>
                <w:szCs w:val="15"/>
                <w:color w:val="auto"/>
              </w:rPr>
            </w:pPr>
          </w:p>
        </w:tc>
        <w:tc>
          <w:tcPr>
            <w:tcW w:w="860" w:type="dxa"/>
            <w:vAlign w:val="bottom"/>
            <w:tcBorders>
              <w:right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$2,246,113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5"/>
                <w:szCs w:val="15"/>
                <w:color w:val="auto"/>
              </w:rPr>
              <w:t>35,237,531</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1,620,638</w:t>
            </w:r>
          </w:p>
        </w:tc>
        <w:tc>
          <w:tcPr>
            <w:tcW w:w="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(16,917)</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(2,583,231)</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245</w:t>
            </w:r>
          </w:p>
        </w:tc>
        <w:tc>
          <w:tcPr>
            <w:tcW w:w="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(2,599,865)</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ectPr>
          <w:pgSz w:w="11900" w:h="16838" w:orient="portrait"/>
          <w:cols w:equalWidth="0" w:num="1">
            <w:col w:w="11340"/>
          </w:cols>
          <w:pgMar w:left="32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69215</wp:posOffset>
            </wp:positionV>
            <wp:extent cx="717804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8100" w:type="dxa"/>
            <w:vAlign w:val="bottom"/>
            <w:gridSpan w:val="4"/>
          </w:tcPr>
          <w:p>
            <w:pPr>
              <w:spacing w:after="0"/>
              <w:rPr>
                <w:sz w:val="20"/>
                <w:szCs w:val="20"/>
                <w:color w:val="auto"/>
              </w:rPr>
            </w:pPr>
            <w:r>
              <w:rPr>
                <w:rFonts w:ascii="Arial" w:cs="Arial" w:eastAsia="Arial" w:hAnsi="Arial"/>
                <w:sz w:val="15"/>
                <w:szCs w:val="15"/>
                <w:b w:val="1"/>
                <w:bCs w:val="1"/>
                <w:color w:val="0000FF"/>
              </w:rPr>
              <w:t>Table of Contents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75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6740" w:type="dxa"/>
            <w:vAlign w:val="bottom"/>
            <w:gridSpan w:val="2"/>
          </w:tcPr>
          <w:p>
            <w:pPr>
              <w:jc w:val="right"/>
              <w:spacing w:after="0"/>
              <w:rPr>
                <w:sz w:val="20"/>
                <w:szCs w:val="20"/>
                <w:color w:val="auto"/>
              </w:rPr>
            </w:pPr>
            <w:r>
              <w:rPr>
                <w:rFonts w:ascii="Arial" w:cs="Arial" w:eastAsia="Arial" w:hAnsi="Arial"/>
                <w:sz w:val="15"/>
                <w:szCs w:val="15"/>
                <w:b w:val="1"/>
                <w:bCs w:val="1"/>
                <w:color w:val="auto"/>
              </w:rPr>
              <w:t>CONDENSED CONSOLIDATED STATEMENTS OF CASH FLOWS (UNAUDITED)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8"/>
        </w:trPr>
        <w:tc>
          <w:tcPr>
            <w:tcW w:w="20" w:type="dxa"/>
            <w:vAlign w:val="bottom"/>
          </w:tcPr>
          <w:p>
            <w:pPr>
              <w:spacing w:after="0"/>
              <w:rPr>
                <w:sz w:val="24"/>
                <w:szCs w:val="24"/>
                <w:color w:val="auto"/>
              </w:rPr>
            </w:pPr>
          </w:p>
        </w:tc>
        <w:tc>
          <w:tcPr>
            <w:tcW w:w="8080" w:type="dxa"/>
            <w:vAlign w:val="bottom"/>
            <w:gridSpan w:val="3"/>
          </w:tcPr>
          <w:p>
            <w:pPr>
              <w:spacing w:after="0"/>
              <w:rPr>
                <w:sz w:val="20"/>
                <w:szCs w:val="20"/>
                <w:color w:val="auto"/>
              </w:rPr>
            </w:pPr>
            <w:r>
              <w:rPr>
                <w:rFonts w:ascii="Arial" w:cs="Arial" w:eastAsia="Arial" w:hAnsi="Arial"/>
                <w:sz w:val="15"/>
                <w:szCs w:val="15"/>
                <w:b w:val="1"/>
                <w:bCs w:val="1"/>
                <w:color w:val="auto"/>
              </w:rPr>
              <w:t>(amounts in thousands)</w:t>
            </w:r>
          </w:p>
        </w:tc>
        <w:tc>
          <w:tcPr>
            <w:tcW w:w="400" w:type="dxa"/>
            <w:vAlign w:val="bottom"/>
          </w:tcPr>
          <w:p>
            <w:pPr>
              <w:spacing w:after="0"/>
              <w:rPr>
                <w:sz w:val="24"/>
                <w:szCs w:val="24"/>
                <w:color w:val="auto"/>
              </w:rPr>
            </w:pPr>
          </w:p>
        </w:tc>
        <w:tc>
          <w:tcPr>
            <w:tcW w:w="2740" w:type="dxa"/>
            <w:vAlign w:val="bottom"/>
            <w:gridSpan w:val="4"/>
          </w:tcPr>
          <w:p>
            <w:pPr>
              <w:jc w:val="right"/>
              <w:ind w:right="363"/>
              <w:spacing w:after="0"/>
              <w:rPr>
                <w:sz w:val="20"/>
                <w:szCs w:val="20"/>
                <w:color w:val="auto"/>
              </w:rPr>
            </w:pPr>
            <w:r>
              <w:rPr>
                <w:rFonts w:ascii="Arial" w:cs="Arial" w:eastAsia="Arial" w:hAnsi="Arial"/>
                <w:sz w:val="15"/>
                <w:szCs w:val="15"/>
                <w:b w:val="1"/>
                <w:bCs w:val="1"/>
                <w:color w:val="auto"/>
              </w:rPr>
              <w:t>Three Months Ended March 31,</w:t>
            </w:r>
          </w:p>
        </w:tc>
      </w:tr>
      <w:tr>
        <w:trPr>
          <w:trHeight w:val="37"/>
        </w:trPr>
        <w:tc>
          <w:tcPr>
            <w:tcW w:w="2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3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2025</w:t>
            </w:r>
          </w:p>
        </w:tc>
      </w:tr>
      <w:tr>
        <w:trPr>
          <w:trHeight w:val="205"/>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5"/>
                <w:szCs w:val="15"/>
                <w:color w:val="auto"/>
              </w:rPr>
              <w:t>Net loss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(510)</w:t>
            </w:r>
          </w:p>
        </w:tc>
        <w:tc>
          <w:tcPr>
            <w:tcW w:w="6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(102,581)</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i w:val="1"/>
                <w:iCs w:val="1"/>
                <w:color w:val="auto"/>
              </w:rPr>
              <w:t>Adjustments to reconcile net loss to net cash used in operating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Depreciation and amortization</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5,065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7,045</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15,872</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14,691</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Non-cash operating lease expense</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1,323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1,452</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Amortization of debt discounts</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2,624</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1,945</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Changes in fair value of financial instruments</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32,333</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456</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i w:val="1"/>
                <w:iCs w:val="1"/>
                <w:color w:val="auto"/>
              </w:rPr>
              <w:t>Changes in operating assets and liabilities: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Accounts receivable</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21,623</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7,913</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280"/>
              <w:spacing w:after="0"/>
              <w:rPr>
                <w:sz w:val="20"/>
                <w:szCs w:val="20"/>
                <w:color w:val="auto"/>
              </w:rPr>
            </w:pPr>
            <w:r>
              <w:rPr>
                <w:rFonts w:ascii="Arial" w:cs="Arial" w:eastAsia="Arial" w:hAnsi="Arial"/>
                <w:sz w:val="15"/>
                <w:szCs w:val="15"/>
                <w:color w:val="auto"/>
              </w:rPr>
              <w:t>Supplies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(13,328)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2,061</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Prepaid expenses and other current assets</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2,470</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280"/>
              <w:spacing w:after="0"/>
              <w:rPr>
                <w:sz w:val="20"/>
                <w:szCs w:val="20"/>
                <w:color w:val="auto"/>
              </w:rPr>
            </w:pPr>
            <w:r>
              <w:rPr>
                <w:rFonts w:ascii="Arial" w:cs="Arial" w:eastAsia="Arial" w:hAnsi="Arial"/>
                <w:sz w:val="15"/>
                <w:szCs w:val="15"/>
                <w:color w:val="auto"/>
              </w:rPr>
              <w:t>Other assets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Accounts payable</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16,371</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(1,739)</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280"/>
              <w:spacing w:after="0"/>
              <w:rPr>
                <w:sz w:val="20"/>
                <w:szCs w:val="20"/>
                <w:color w:val="auto"/>
              </w:rPr>
            </w:pPr>
            <w:r>
              <w:rPr>
                <w:rFonts w:ascii="Arial" w:cs="Arial" w:eastAsia="Arial" w:hAnsi="Arial"/>
                <w:sz w:val="15"/>
                <w:szCs w:val="15"/>
                <w:color w:val="auto"/>
              </w:rPr>
              <w:t>Accrued expenses and other liabilities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(14,977)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2,580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gridSpan w:val="2"/>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Net cash provided by (used in) operating 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32,876</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(31,338)</w:t>
            </w: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Purchases of property and equipment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(10,342)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(2,689)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gridSpan w:val="2"/>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(10,342)</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(2,689)</w:t>
            </w: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Payments made on finance lease obligations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4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920</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1,434</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Payment of taxes withheld from net settlement of exercised options and vested RSUs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Payment of deferred offering costs</w:t>
            </w:r>
          </w:p>
        </w:tc>
        <w:tc>
          <w:tcPr>
            <w:tcW w:w="4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w:t>
            </w:r>
          </w:p>
        </w:tc>
      </w:tr>
      <w:tr>
        <w:trPr>
          <w:trHeight w:val="209"/>
        </w:trPr>
        <w:tc>
          <w:tcPr>
            <w:tcW w:w="20" w:type="dxa"/>
            <w:vAlign w:val="bottom"/>
          </w:tcPr>
          <w:p>
            <w:pPr>
              <w:spacing w:after="0"/>
              <w:rPr>
                <w:sz w:val="18"/>
                <w:szCs w:val="18"/>
                <w:color w:val="auto"/>
              </w:rPr>
            </w:pPr>
          </w:p>
        </w:tc>
        <w:tc>
          <w:tcPr>
            <w:tcW w:w="8080" w:type="dxa"/>
            <w:vAlign w:val="bottom"/>
            <w:gridSpan w:val="3"/>
          </w:tcPr>
          <w:p>
            <w:pPr>
              <w:ind w:left="140"/>
              <w:spacing w:after="0"/>
              <w:rPr>
                <w:sz w:val="20"/>
                <w:szCs w:val="20"/>
                <w:color w:val="auto"/>
              </w:rPr>
            </w:pPr>
            <w:r>
              <w:rPr>
                <w:rFonts w:ascii="Arial" w:cs="Arial" w:eastAsia="Arial" w:hAnsi="Arial"/>
                <w:sz w:val="15"/>
                <w:szCs w:val="15"/>
                <w:color w:val="auto"/>
              </w:rPr>
              <w:t>Repurchase of common stock</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gridSpan w:val="2"/>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1,285</w:t>
            </w: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0"/>
        </w:trPr>
        <w:tc>
          <w:tcPr>
            <w:tcW w:w="20" w:type="dxa"/>
            <w:vAlign w:val="bottom"/>
          </w:tcPr>
          <w:p>
            <w:pPr>
              <w:spacing w:after="0"/>
              <w:rPr>
                <w:sz w:val="17"/>
                <w:szCs w:val="17"/>
                <w:color w:val="auto"/>
              </w:rPr>
            </w:pPr>
          </w:p>
        </w:tc>
        <w:tc>
          <w:tcPr>
            <w:tcW w:w="8080" w:type="dxa"/>
            <w:vAlign w:val="bottom"/>
            <w:gridSpan w:val="3"/>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23,348</w:t>
            </w: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(32,738)</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rPr>
                <w:sz w:val="15"/>
                <w:szCs w:val="15"/>
                <w:color w:val="auto"/>
              </w:rPr>
            </w:pPr>
          </w:p>
        </w:tc>
        <w:tc>
          <w:tcPr>
            <w:tcW w:w="6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800,042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68,028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gridSpan w:val="2"/>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end of period</w:t>
            </w: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823,390</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35,290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Reconciliation of cash, cash equivalents, and restricted cash</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5"/>
                <w:szCs w:val="15"/>
                <w:color w:val="auto"/>
              </w:rPr>
              <w:t>Cash and cash equivalents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819,901</w:t>
            </w:r>
          </w:p>
        </w:tc>
        <w:tc>
          <w:tcPr>
            <w:tcW w:w="6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31,201</w:t>
            </w:r>
          </w:p>
        </w:tc>
      </w:tr>
      <w:tr>
        <w:trPr>
          <w:trHeight w:val="21"/>
        </w:trPr>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Restricted cash</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3,489</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4,089</w:t>
            </w:r>
          </w:p>
        </w:tc>
      </w:tr>
      <w:tr>
        <w:trPr>
          <w:trHeight w:val="200"/>
        </w:trPr>
        <w:tc>
          <w:tcPr>
            <w:tcW w:w="20" w:type="dxa"/>
            <w:vAlign w:val="bottom"/>
          </w:tcPr>
          <w:p>
            <w:pPr>
              <w:spacing w:after="0"/>
              <w:rPr>
                <w:sz w:val="17"/>
                <w:szCs w:val="17"/>
                <w:color w:val="auto"/>
              </w:rPr>
            </w:pPr>
          </w:p>
        </w:tc>
        <w:tc>
          <w:tcPr>
            <w:tcW w:w="8080" w:type="dxa"/>
            <w:vAlign w:val="bottom"/>
            <w:gridSpan w:val="3"/>
          </w:tcPr>
          <w:p>
            <w:pPr>
              <w:spacing w:after="0"/>
              <w:rPr>
                <w:sz w:val="20"/>
                <w:szCs w:val="20"/>
                <w:color w:val="auto"/>
              </w:rPr>
            </w:pPr>
            <w:r>
              <w:rPr>
                <w:rFonts w:ascii="Arial" w:cs="Arial" w:eastAsia="Arial" w:hAnsi="Arial"/>
                <w:sz w:val="15"/>
                <w:szCs w:val="15"/>
                <w:color w:val="auto"/>
              </w:rPr>
              <w:t>Total cash, cash equivalents, and restricted cash</w:t>
            </w:r>
          </w:p>
        </w:tc>
        <w:tc>
          <w:tcPr>
            <w:tcW w:w="40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823,390</w:t>
            </w:r>
          </w:p>
        </w:tc>
        <w:tc>
          <w:tcPr>
            <w:tcW w:w="6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35,290</w:t>
            </w: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the Business</w:t>
      </w:r>
    </w:p>
    <w:p>
      <w:pPr>
        <w:spacing w:after="0" w:line="163" w:lineRule="exact"/>
        <w:rPr>
          <w:sz w:val="20"/>
          <w:szCs w:val="20"/>
          <w:color w:val="auto"/>
        </w:rPr>
      </w:pPr>
    </w:p>
    <w:p>
      <w:pPr>
        <w:jc w:val="both"/>
        <w:ind w:right="160" w:firstLine="551"/>
        <w:spacing w:after="0" w:line="275" w:lineRule="auto"/>
        <w:rPr>
          <w:sz w:val="20"/>
          <w:szCs w:val="20"/>
          <w:color w:val="auto"/>
        </w:rPr>
      </w:pPr>
      <w:r>
        <w:rPr>
          <w:rFonts w:ascii="Arial" w:cs="Arial" w:eastAsia="Arial" w:hAnsi="Arial"/>
          <w:sz w:val="15"/>
          <w:szCs w:val="15"/>
          <w:color w:val="auto"/>
        </w:rPr>
        <w:t>Caris Life Sciences, Inc. (the “Company” or “Caris”) is a patient-centric, next-generation artificial intelligence (“AI”) TechBio company and precision medicine pioneer. The Company commercializes and develops innovative solutions to transform healthcare through the use of comprehensive molecular information, AI, and machine learning (“ML”) algorithms.</w:t>
      </w:r>
    </w:p>
    <w:p>
      <w:pPr>
        <w:spacing w:after="0" w:line="119" w:lineRule="exact"/>
        <w:rPr>
          <w:sz w:val="20"/>
          <w:szCs w:val="20"/>
          <w:color w:val="auto"/>
        </w:rPr>
      </w:pPr>
    </w:p>
    <w:p>
      <w:pPr>
        <w:ind w:right="60" w:firstLine="551"/>
        <w:spacing w:after="0" w:line="294" w:lineRule="auto"/>
        <w:rPr>
          <w:sz w:val="20"/>
          <w:szCs w:val="20"/>
          <w:color w:val="auto"/>
        </w:rPr>
      </w:pPr>
      <w:r>
        <w:rPr>
          <w:rFonts w:ascii="Arial" w:cs="Arial" w:eastAsia="Arial" w:hAnsi="Arial"/>
          <w:sz w:val="15"/>
          <w:szCs w:val="15"/>
          <w:color w:val="auto"/>
        </w:rPr>
        <w:t>The Company’s current molecular profiling services portfolio is focused on oncology and consists of the MI Profile platform, a tissue-based molecular profiling solution, and Caris Assure, a novel blood-based molecular profiling solution.</w:t>
      </w:r>
    </w:p>
    <w:p>
      <w:pPr>
        <w:spacing w:after="0" w:line="94" w:lineRule="exact"/>
        <w:rPr>
          <w:sz w:val="20"/>
          <w:szCs w:val="20"/>
          <w:color w:val="auto"/>
        </w:rPr>
      </w:pPr>
    </w:p>
    <w:p>
      <w:pPr>
        <w:ind w:right="80" w:firstLine="551"/>
        <w:spacing w:after="0" w:line="294" w:lineRule="auto"/>
        <w:rPr>
          <w:sz w:val="20"/>
          <w:szCs w:val="20"/>
          <w:color w:val="auto"/>
        </w:rPr>
      </w:pPr>
      <w:r>
        <w:rPr>
          <w:rFonts w:ascii="Arial" w:cs="Arial" w:eastAsia="Arial" w:hAnsi="Arial"/>
          <w:sz w:val="15"/>
          <w:szCs w:val="15"/>
          <w:color w:val="auto"/>
        </w:rPr>
        <w:t>The Company also collaborates with biopharmaceutical companies to provide commercial services and prospective and retrospective testing, along with data and bioinformatics collaborations and novel target identification and discovery solutions.</w:t>
      </w:r>
    </w:p>
    <w:p>
      <w:pPr>
        <w:spacing w:after="0" w:line="94" w:lineRule="exact"/>
        <w:rPr>
          <w:sz w:val="20"/>
          <w:szCs w:val="20"/>
          <w:color w:val="auto"/>
        </w:rPr>
      </w:pPr>
    </w:p>
    <w:p>
      <w:pPr>
        <w:ind w:right="160" w:firstLine="551"/>
        <w:spacing w:after="0" w:line="294" w:lineRule="auto"/>
        <w:rPr>
          <w:sz w:val="20"/>
          <w:szCs w:val="20"/>
          <w:color w:val="auto"/>
        </w:rPr>
      </w:pPr>
      <w:r>
        <w:rPr>
          <w:rFonts w:ascii="Arial" w:cs="Arial" w:eastAsia="Arial" w:hAnsi="Arial"/>
          <w:sz w:val="15"/>
          <w:szCs w:val="15"/>
          <w:color w:val="auto"/>
        </w:rPr>
        <w:t>The Company is a Texas corporation (Caris Life Sciences, Inc.) and is headquartered in Irving, Texas. The Company also has locations in Phoenix, Arizona; New York, New York; Cambridge, Massachusetts; Basel, Switzerland; and Tokyo, Japan.</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Summary of Significant Accounting Policies and Estimates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Financial Statement Presentation</w:t>
      </w:r>
    </w:p>
    <w:p>
      <w:pPr>
        <w:spacing w:after="0" w:line="161"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The condensed consolidated financial statements include the accounts of Caris and its wholly owned subsidiaries. All intercompany balances and transactions have been eliminated in consolidation.</w:t>
      </w:r>
    </w:p>
    <w:p>
      <w:pPr>
        <w:spacing w:after="0" w:line="106" w:lineRule="exact"/>
        <w:rPr>
          <w:sz w:val="20"/>
          <w:szCs w:val="20"/>
          <w:color w:val="auto"/>
        </w:rPr>
      </w:pPr>
    </w:p>
    <w:p>
      <w:pPr>
        <w:jc w:val="both"/>
        <w:ind w:right="200" w:firstLine="551"/>
        <w:spacing w:after="0" w:line="275" w:lineRule="auto"/>
        <w:rPr>
          <w:sz w:val="20"/>
          <w:szCs w:val="20"/>
          <w:color w:val="auto"/>
        </w:rPr>
      </w:pPr>
      <w:r>
        <w:rPr>
          <w:rFonts w:ascii="Arial" w:cs="Arial" w:eastAsia="Arial" w:hAnsi="Arial"/>
          <w:sz w:val="15"/>
          <w:szCs w:val="15"/>
          <w:color w:val="auto"/>
        </w:rPr>
        <w:t>The Company’s condensed consolidated financial statements have been prepared in conformity with generally accepted accounting principles in the United States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Interim Consolidated Financial Information</w:t>
      </w:r>
    </w:p>
    <w:p>
      <w:pPr>
        <w:spacing w:after="0" w:line="161" w:lineRule="exact"/>
        <w:rPr>
          <w:sz w:val="20"/>
          <w:szCs w:val="20"/>
          <w:color w:val="auto"/>
        </w:rPr>
      </w:pPr>
    </w:p>
    <w:p>
      <w:pPr>
        <w:ind w:right="40" w:firstLine="551"/>
        <w:spacing w:after="0" w:line="261" w:lineRule="auto"/>
        <w:rPr>
          <w:sz w:val="20"/>
          <w:szCs w:val="20"/>
          <w:color w:val="auto"/>
        </w:rPr>
      </w:pPr>
      <w:r>
        <w:rPr>
          <w:rFonts w:ascii="Arial" w:cs="Arial" w:eastAsia="Arial" w:hAnsi="Arial"/>
          <w:sz w:val="15"/>
          <w:szCs w:val="15"/>
          <w:color w:val="auto"/>
        </w:rPr>
        <w:t>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March 31, 2026, its results of operations for the three months ended March 31, 2026 and 2025, and cash flows for the three months ended March 31, 2026 and 2025. The results of operations for the three months ended March 31, 2026 are not necessarily indicative of the results to be expected for the year ending December 31, 2026, or for any other future annual or interim period. The condensed consolidated balance sheet as of December 31, 2025 included herein was derived from the audited financial statements as of that date and should be read in conjunction with the audited annual consolidated financial statements. Certain information and footnote disclosures normally included in consolidated financial statements prepared in accordance with GAAP have been condensed or omitted from these unaudited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61" w:lineRule="exact"/>
        <w:rPr>
          <w:sz w:val="20"/>
          <w:szCs w:val="20"/>
          <w:color w:val="auto"/>
        </w:rPr>
      </w:pPr>
    </w:p>
    <w:p>
      <w:pPr>
        <w:ind w:right="240" w:firstLine="551"/>
        <w:spacing w:after="0" w:line="268" w:lineRule="auto"/>
        <w:rPr>
          <w:sz w:val="20"/>
          <w:szCs w:val="20"/>
          <w:color w:val="auto"/>
        </w:rPr>
      </w:pPr>
      <w:r>
        <w:rPr>
          <w:rFonts w:ascii="Arial" w:cs="Arial" w:eastAsia="Arial" w:hAnsi="Arial"/>
          <w:sz w:val="15"/>
          <w:szCs w:val="15"/>
          <w:color w:val="auto"/>
        </w:rPr>
        <w:t>The preparation of the condensed consolidated financial statements in conformity with GAAP in the United States requires the use of estimates and assumptions about future events that affect the amounts reported in the Company's condensed consolidated financial statements and related notes, including the amounts of assets and liabilities, the disclosure of contingent liabilities at the date of the condensed consolidated financial statements, and the reported amounts of revenues and expenses during the periods reported.</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Significant estimates and assumptions are used for, but not limited to:</w:t>
      </w:r>
    </w:p>
    <w:p>
      <w:pPr>
        <w:spacing w:after="0" w:line="172" w:lineRule="exact"/>
        <w:rPr>
          <w:sz w:val="20"/>
          <w:szCs w:val="20"/>
          <w:color w:val="auto"/>
        </w:rPr>
      </w:pPr>
    </w:p>
    <w:p>
      <w:pPr>
        <w:ind w:left="520" w:hanging="253"/>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 recognition</w:t>
      </w:r>
    </w:p>
    <w:p>
      <w:pPr>
        <w:spacing w:after="0" w:line="25" w:lineRule="exact"/>
        <w:rPr>
          <w:rFonts w:ascii="Arial" w:cs="Arial" w:eastAsia="Arial" w:hAnsi="Arial"/>
          <w:sz w:val="15"/>
          <w:szCs w:val="15"/>
          <w:color w:val="auto"/>
        </w:rPr>
      </w:pPr>
    </w:p>
    <w:p>
      <w:pPr>
        <w:ind w:left="520" w:hanging="253"/>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fair value of stock-based awards</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firstLine="551"/>
        <w:spacing w:after="0" w:line="263" w:lineRule="auto"/>
        <w:rPr>
          <w:sz w:val="20"/>
          <w:szCs w:val="20"/>
          <w:color w:val="auto"/>
        </w:rPr>
      </w:pPr>
      <w:r>
        <w:rPr>
          <w:rFonts w:ascii="Arial" w:cs="Arial" w:eastAsia="Arial" w:hAnsi="Arial"/>
          <w:sz w:val="15"/>
          <w:szCs w:val="15"/>
          <w:color w:val="auto"/>
        </w:rPr>
        <w:t>Future events and their effects cannot be predicted with certainty. Accordingly, the accounting estimates require the exercise of judgment.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The accounting estimates used in the preparation of the Company’s condensed consolidated financial statements may change as new events occur, additional information is obtained, and the operating environment changes. The Company will evaluate and update the assumptions and estimates on an ongoing basis and may employ outside experts to assist in its evaluation, as considered necessary. Actual results could materially differ from those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72"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 xml:space="preserve">The Company recognizes revenue under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Revenue is recognized when control of goods and services are transferred to customers, in an amount that reflects the consideration the Company expects to be entitled to in exchange for those services.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ASC 606 provides for a five-step model that includes: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Step 1: Identify the contract(s) with a customer.</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Step 2: Identify performance obligations in the contract.</w:t>
      </w:r>
    </w:p>
    <w:p>
      <w:pPr>
        <w:spacing w:after="0" w:line="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Step 3: Determine the transaction price.</w:t>
      </w:r>
    </w:p>
    <w:p>
      <w:pPr>
        <w:spacing w:after="0" w:line="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Step 4: Allocate the transaction price to the performance obligations in the contract.</w:t>
      </w:r>
    </w:p>
    <w:p>
      <w:pPr>
        <w:spacing w:after="0" w:line="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Step 5: Recognize revenue when (or as) the entity satisfies a performance obligation.</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derives revenue from two distinct channels:</w:t>
      </w:r>
    </w:p>
    <w:p>
      <w:pPr>
        <w:spacing w:after="0" w:line="161" w:lineRule="exact"/>
        <w:rPr>
          <w:sz w:val="20"/>
          <w:szCs w:val="20"/>
          <w:color w:val="auto"/>
        </w:rPr>
      </w:pPr>
    </w:p>
    <w:p>
      <w:pPr>
        <w:ind w:left="520" w:hanging="253"/>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Molecular profiling services involving the provision of precision oncology solutions utilizing MI Profile and Caris Assure</w:t>
      </w:r>
    </w:p>
    <w:p>
      <w:pPr>
        <w:spacing w:after="0" w:line="25" w:lineRule="exact"/>
        <w:rPr>
          <w:rFonts w:ascii="Arial" w:cs="Arial" w:eastAsia="Arial" w:hAnsi="Arial"/>
          <w:sz w:val="15"/>
          <w:szCs w:val="15"/>
          <w:color w:val="auto"/>
        </w:rPr>
      </w:pPr>
    </w:p>
    <w:p>
      <w:pPr>
        <w:ind w:left="520" w:hanging="253"/>
        <w:spacing w:after="0"/>
        <w:tabs>
          <w:tab w:leader="none" w:pos="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Pharma research and development services involving delivery of laboratory, strategic data, and research services to biopharmaceutical customers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Molecular Profiling Services</w:t>
      </w:r>
    </w:p>
    <w:p>
      <w:pPr>
        <w:spacing w:after="0" w:line="172" w:lineRule="exact"/>
        <w:rPr>
          <w:sz w:val="20"/>
          <w:szCs w:val="20"/>
          <w:color w:val="auto"/>
        </w:rPr>
      </w:pPr>
    </w:p>
    <w:p>
      <w:pPr>
        <w:ind w:right="40" w:firstLine="551"/>
        <w:spacing w:after="0" w:line="260" w:lineRule="auto"/>
        <w:rPr>
          <w:sz w:val="20"/>
          <w:szCs w:val="20"/>
          <w:color w:val="auto"/>
        </w:rPr>
      </w:pPr>
      <w:r>
        <w:rPr>
          <w:rFonts w:ascii="Arial" w:cs="Arial" w:eastAsia="Arial" w:hAnsi="Arial"/>
          <w:sz w:val="15"/>
          <w:szCs w:val="15"/>
          <w:color w:val="auto"/>
        </w:rPr>
        <w:t>For the majority of its molecular profiling services, the Company recognizes revenue from the sale of its precision oncology solutions, provided to customers, including certain hospitals, institutions and patients, at the point in time when the results of the profiling services are delivered to ordering physicians. Most cases requested on behalf of customers are provided without a written agreement; however, the Company determines that an implied contract exists with its customers for whom a physician orders the case. Results from molecular profiling services are delivered via fax, electronically, or in hard copy. Shipping and handling activities are considered fulfillment activities and as such, amounts incurred are recorded within Cost of Services - Molecular profiling services on the condensed consolidated statements of operations and comprehensive loss. The Company identifies each sale of the Company's profiling service as a distinct performance obligation. Payment terms are a function of a patient’s existing insurance benefits and applicable reimbursement contracts established between the Company and payers. Collection of consideration the Company expects to receive typically occurs within 90 to 120 days of billing. Occasionally, payers may recoup or we may refund consideration, mainly as a result of claim processing.</w:t>
      </w:r>
    </w:p>
    <w:p>
      <w:pPr>
        <w:spacing w:after="0" w:line="121" w:lineRule="exact"/>
        <w:rPr>
          <w:sz w:val="20"/>
          <w:szCs w:val="20"/>
          <w:color w:val="auto"/>
        </w:rPr>
      </w:pPr>
    </w:p>
    <w:p>
      <w:pPr>
        <w:ind w:right="40" w:firstLine="551"/>
        <w:spacing w:after="0" w:line="259" w:lineRule="auto"/>
        <w:rPr>
          <w:sz w:val="20"/>
          <w:szCs w:val="20"/>
          <w:color w:val="auto"/>
        </w:rPr>
      </w:pPr>
      <w:r>
        <w:rPr>
          <w:rFonts w:ascii="Arial" w:cs="Arial" w:eastAsia="Arial" w:hAnsi="Arial"/>
          <w:sz w:val="15"/>
          <w:szCs w:val="15"/>
          <w:color w:val="auto"/>
        </w:rPr>
        <w:t>The total consideration to which the Company expects to be entitled in exchange for the Company’s services may be fixed or variable. Consideration includes reimbursement from patients, hospitals, and third-party commercial and governmental payers, such as insurance companies, adjusted for variable consideration related to implicit price concessions that the Company may grant. The Company estimates the variable consideration under a portfolio approach for third-party payers, hospitals and patients with similar reimbursement characteristics. This includes analysis of an average reimbursement per case per portfolio and a percentage of cases reimbursed by considering the historical reimbursement data (including any refunds and recoupments) from such third-party payers, hospitals and patients. Specifically, the Company calculates the historical average reimbursement rates for each portfolio and applies an estimated reimbursement rate, based on historical trends, to the number of cases delivered each period. The period for which historical data is drawn upon is determined on a by-portfolio basis for each payer group, taking into consideration the average collection period. Additionally, the estimate also considers current contractual and statutory requirements, patient insurance eligibility and payer reimbursement contracts, and any known current or anticipated reimbursement trends not reflected in the historical data and only recognizes revenue for variable consideration that the Company determines is probable will not result in a significant reversal in the future. The Company monitors the estimated amount to be collected at each reporting period based on actual cash collections in order to assess whether a revision to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60"/>
        <w:spacing w:after="0" w:line="275" w:lineRule="auto"/>
        <w:rPr>
          <w:sz w:val="20"/>
          <w:szCs w:val="20"/>
          <w:color w:val="auto"/>
        </w:rPr>
      </w:pPr>
      <w:r>
        <w:rPr>
          <w:rFonts w:ascii="Arial" w:cs="Arial" w:eastAsia="Arial" w:hAnsi="Arial"/>
          <w:sz w:val="15"/>
          <w:szCs w:val="15"/>
          <w:color w:val="auto"/>
        </w:rPr>
        <w:t>estimate is required. Subsequent changes to the estimate of the transaction price are recorded as adjustments to molecular profiling services revenue in the period where such changes occur. Both the estimate and any subsequent revision are uncertain and require the use of management’s judgment in the estimation of the variable consideration and application of the constraint for such variable consideration.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Pharma Research and Development Services</w:t>
      </w:r>
    </w:p>
    <w:p>
      <w:pPr>
        <w:spacing w:after="0" w:line="172" w:lineRule="exact"/>
        <w:rPr>
          <w:sz w:val="20"/>
          <w:szCs w:val="20"/>
          <w:color w:val="auto"/>
        </w:rPr>
      </w:pPr>
    </w:p>
    <w:p>
      <w:pPr>
        <w:ind w:right="120" w:firstLine="551"/>
        <w:spacing w:after="0" w:line="294" w:lineRule="auto"/>
        <w:rPr>
          <w:sz w:val="20"/>
          <w:szCs w:val="20"/>
          <w:color w:val="auto"/>
        </w:rPr>
      </w:pPr>
      <w:r>
        <w:rPr>
          <w:rFonts w:ascii="Arial" w:cs="Arial" w:eastAsia="Arial" w:hAnsi="Arial"/>
          <w:sz w:val="15"/>
          <w:szCs w:val="15"/>
          <w:color w:val="auto"/>
        </w:rPr>
        <w:t>The Company collaborates with biopharmaceutical companies to provide commercial services and prospective and retrospective testing, along with data and bioinformatics collaborations and novel target identification and discovery solutions.</w:t>
      </w:r>
    </w:p>
    <w:p>
      <w:pPr>
        <w:spacing w:after="0" w:line="94" w:lineRule="exact"/>
        <w:rPr>
          <w:sz w:val="20"/>
          <w:szCs w:val="20"/>
          <w:color w:val="auto"/>
        </w:rPr>
      </w:pPr>
    </w:p>
    <w:p>
      <w:pPr>
        <w:ind w:firstLine="551"/>
        <w:spacing w:after="0" w:line="258" w:lineRule="auto"/>
        <w:rPr>
          <w:sz w:val="20"/>
          <w:szCs w:val="20"/>
          <w:color w:val="auto"/>
        </w:rPr>
      </w:pPr>
      <w:r>
        <w:rPr>
          <w:rFonts w:ascii="Arial" w:cs="Arial" w:eastAsia="Arial" w:hAnsi="Arial"/>
          <w:sz w:val="15"/>
          <w:szCs w:val="15"/>
          <w:color w:val="auto"/>
        </w:rPr>
        <w:t>Contracts with biopharmaceutical customers may include multiple distinct performance obligations, such as molecular profiling services, pharma research and development services, and strategic data services. The Company evaluates the terms and conditions included within its contracts with biopharmaceutical customers for proper revenue recognition, including whether services are capable of being distinct and considered distinct within the context of the contract. The performance obligations for biopharmaceutical customers vary by contract. Such contracts may include a performance obligation to provide molecular profiling services, to facilitate the development and regulatory approval of drugs, or to provide target discovery services. Under those contracts, the Company receives payments upon the achievement of milestones, as well as provision of on-going support. The transaction price of the development services contracts may include variable consideration, due to the uncertainty associated with the achievement of the milestones. In making the assessment of whether variable consideration should be included in the transaction price, the Company considers its historical experience with similar milestones, the degree of complexity and uncertainty associated with each milestone, and whether achievement of the milestone is dependent on parties other than the Company. The Company recognizes pharma research and development services revenue over the period in which biopharmaceutical research and development services are provided. Depending on the nature of the service, the Company recognizes revenue using either the output or input method to measure progress, whichever provides a more faithful depiction of the transfer of goods or services. Use of an output method or input method to depict the transfer of services generally does not result in a material difference with respect to the timing of revenue recognition because most services commence and end within the same reporting period. A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Standalone Selling Price</w:t>
      </w:r>
    </w:p>
    <w:p>
      <w:pPr>
        <w:spacing w:after="0" w:line="172" w:lineRule="exact"/>
        <w:rPr>
          <w:sz w:val="20"/>
          <w:szCs w:val="20"/>
          <w:color w:val="auto"/>
        </w:rPr>
      </w:pPr>
    </w:p>
    <w:p>
      <w:pPr>
        <w:ind w:right="100" w:firstLine="551"/>
        <w:spacing w:after="0" w:line="275" w:lineRule="auto"/>
        <w:rPr>
          <w:sz w:val="20"/>
          <w:szCs w:val="20"/>
          <w:color w:val="auto"/>
        </w:rPr>
      </w:pPr>
      <w:r>
        <w:rPr>
          <w:rFonts w:ascii="Arial" w:cs="Arial" w:eastAsia="Arial" w:hAnsi="Arial"/>
          <w:sz w:val="15"/>
          <w:szCs w:val="15"/>
          <w:color w:val="auto"/>
        </w:rPr>
        <w:t>The Company determines standalone selling prices by considering the historical selling prices of its performance obligations in similar transactions, where applicable, as well as other factors, including, but not limited to, the price that customers in the market would be willing to pay, competitive pricing from other vendors, industry publications, current pricing practices and management estimates.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Balances</w:t>
      </w:r>
    </w:p>
    <w:p>
      <w:pPr>
        <w:spacing w:after="0" w:line="161" w:lineRule="exact"/>
        <w:rPr>
          <w:sz w:val="20"/>
          <w:szCs w:val="20"/>
          <w:color w:val="auto"/>
        </w:rPr>
      </w:pPr>
    </w:p>
    <w:p>
      <w:pPr>
        <w:ind w:right="220" w:firstLine="551"/>
        <w:spacing w:after="0" w:line="265" w:lineRule="auto"/>
        <w:rPr>
          <w:sz w:val="20"/>
          <w:szCs w:val="20"/>
          <w:color w:val="auto"/>
        </w:rPr>
      </w:pPr>
      <w:r>
        <w:rPr>
          <w:rFonts w:ascii="Arial" w:cs="Arial" w:eastAsia="Arial" w:hAnsi="Arial"/>
          <w:sz w:val="15"/>
          <w:szCs w:val="15"/>
          <w:color w:val="auto"/>
        </w:rPr>
        <w:t>The timing of revenue recognition may differ from the timing of invoicing to customers. Accounts receivable are recorded at the invoiced amount, net of an allowance for credit losses. A receivable is recognized in the period the Company delivers goods or provides services, or when the right to consideration is unconditional. In situations where revenue recognition occurs before invoicing, an unbilled receivable is created, which represents a contract asset. As of March 31, 2026 and December 31, 2025, the unbilled receivable balance was $3.7 million and $7.2 million, respectively, which is included in accounts receivable on the condensed consolidated balance sheets.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recognizes contract liabilities primarily related to payments received in advance of satisfaction of performance obligations from contracts with</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customers. Contract liabilities are relieved as the Company fulfills its obligations under the contract and revenue is recognized. As of March 31, 2026 and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2025, the contract liability balance was $25.0 million and $24.5 million, respectively, which is included in accrued expenses and other current liabilities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b w:val="1"/>
                <w:bCs w:val="1"/>
                <w:color w:val="0000FF"/>
                <w:w w:val="99"/>
              </w:rPr>
              <w:t>Table of Contents</w:t>
            </w:r>
          </w:p>
        </w:tc>
        <w:tc>
          <w:tcPr>
            <w:tcW w:w="7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705"/>
        </w:trPr>
        <w:tc>
          <w:tcPr>
            <w:tcW w:w="280" w:type="dxa"/>
            <w:vAlign w:val="bottom"/>
          </w:tcPr>
          <w:p>
            <w:pPr>
              <w:spacing w:after="0"/>
              <w:rPr>
                <w:sz w:val="24"/>
                <w:szCs w:val="24"/>
                <w:color w:val="auto"/>
              </w:rPr>
            </w:pPr>
          </w:p>
        </w:tc>
        <w:tc>
          <w:tcPr>
            <w:tcW w:w="8860" w:type="dxa"/>
            <w:vAlign w:val="bottom"/>
            <w:gridSpan w:val="2"/>
          </w:tcPr>
          <w:p>
            <w:pPr>
              <w:ind w:left="260"/>
              <w:spacing w:after="0"/>
              <w:rPr>
                <w:sz w:val="20"/>
                <w:szCs w:val="20"/>
                <w:color w:val="auto"/>
              </w:rPr>
            </w:pPr>
            <w:r>
              <w:rPr>
                <w:rFonts w:ascii="Arial" w:cs="Arial" w:eastAsia="Arial" w:hAnsi="Arial"/>
                <w:sz w:val="15"/>
                <w:szCs w:val="15"/>
                <w:color w:val="auto"/>
              </w:rPr>
              <w:t>The following table shows the changes in the contract liabilities during the period:</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3"/>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280" w:type="dxa"/>
            <w:vAlign w:val="bottom"/>
          </w:tcPr>
          <w:p>
            <w:pPr>
              <w:spacing w:after="0"/>
              <w:rPr>
                <w:sz w:val="18"/>
                <w:szCs w:val="18"/>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2025</w:t>
            </w:r>
          </w:p>
        </w:tc>
        <w:tc>
          <w:tcPr>
            <w:tcW w:w="700" w:type="dxa"/>
            <w:vAlign w:val="bottom"/>
            <w:tcBorders>
              <w:bottom w:val="single" w:sz="8" w:color="CCEEFF"/>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24,492</w:t>
            </w:r>
          </w:p>
        </w:tc>
      </w:tr>
      <w:tr>
        <w:trPr>
          <w:trHeight w:val="209"/>
        </w:trPr>
        <w:tc>
          <w:tcPr>
            <w:tcW w:w="28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5"/>
                <w:szCs w:val="15"/>
                <w:color w:val="auto"/>
              </w:rPr>
              <w:t>Increase in contract liabilities</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2,989</w:t>
            </w:r>
          </w:p>
        </w:tc>
      </w:tr>
      <w:tr>
        <w:trPr>
          <w:trHeight w:val="21"/>
        </w:trPr>
        <w:tc>
          <w:tcPr>
            <w:tcW w:w="280" w:type="dxa"/>
            <w:vAlign w:val="bottom"/>
          </w:tcPr>
          <w:p>
            <w:pPr>
              <w:spacing w:after="0" w:line="20" w:lineRule="exact"/>
              <w:rPr>
                <w:sz w:val="1"/>
                <w:szCs w:val="1"/>
                <w:color w:val="auto"/>
              </w:rPr>
            </w:pPr>
          </w:p>
        </w:tc>
        <w:tc>
          <w:tcPr>
            <w:tcW w:w="8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Revenue recognized during the period that was included in deferred revenues at the beginning of the period</w:t>
            </w:r>
          </w:p>
        </w:tc>
        <w:tc>
          <w:tcPr>
            <w:tcW w:w="7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(1,997)</w:t>
            </w:r>
          </w:p>
        </w:tc>
      </w:tr>
      <w:tr>
        <w:trPr>
          <w:trHeight w:val="209"/>
        </w:trPr>
        <w:tc>
          <w:tcPr>
            <w:tcW w:w="28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5"/>
                <w:szCs w:val="15"/>
                <w:color w:val="auto"/>
              </w:rPr>
              <w:t>Revenue recognized from performance obligations satisfied within the same period</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(515)</w:t>
            </w:r>
          </w:p>
        </w:tc>
      </w:tr>
      <w:tr>
        <w:trPr>
          <w:trHeight w:val="21"/>
        </w:trPr>
        <w:tc>
          <w:tcPr>
            <w:tcW w:w="280" w:type="dxa"/>
            <w:vAlign w:val="bottom"/>
          </w:tcPr>
          <w:p>
            <w:pPr>
              <w:spacing w:after="0" w:line="20" w:lineRule="exact"/>
              <w:rPr>
                <w:sz w:val="1"/>
                <w:szCs w:val="1"/>
                <w:color w:val="auto"/>
              </w:rPr>
            </w:pPr>
          </w:p>
        </w:tc>
        <w:tc>
          <w:tcPr>
            <w:tcW w:w="886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 at March 31, 2026</w:t>
            </w: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24,969</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551"/>
        <w:spacing w:after="0" w:line="471" w:lineRule="auto"/>
        <w:rPr>
          <w:sz w:val="20"/>
          <w:szCs w:val="20"/>
          <w:color w:val="auto"/>
        </w:rPr>
      </w:pPr>
      <w:r>
        <w:rPr>
          <w:rFonts w:ascii="Arial" w:cs="Arial" w:eastAsia="Arial" w:hAnsi="Arial"/>
          <w:sz w:val="15"/>
          <w:szCs w:val="15"/>
          <w:color w:val="auto"/>
        </w:rPr>
        <w:t xml:space="preserve">The amount of revenue recognized during the three months ended March 31, 2025 pertaining to amounts deferred as of December 31, 2024 was $1.8 million. </w:t>
      </w:r>
      <w:r>
        <w:rPr>
          <w:rFonts w:ascii="Arial" w:cs="Arial" w:eastAsia="Arial" w:hAnsi="Arial"/>
          <w:sz w:val="15"/>
          <w:szCs w:val="15"/>
          <w:i w:val="1"/>
          <w:iCs w:val="1"/>
          <w:color w:val="auto"/>
        </w:rPr>
        <w:t>Transaction Price Allocated to Remaining Performance Obligations</w:t>
      </w:r>
    </w:p>
    <w:p>
      <w:pPr>
        <w:ind w:firstLine="551"/>
        <w:spacing w:after="0" w:line="263" w:lineRule="auto"/>
        <w:rPr>
          <w:sz w:val="20"/>
          <w:szCs w:val="20"/>
          <w:color w:val="auto"/>
        </w:rPr>
      </w:pPr>
      <w:r>
        <w:rPr>
          <w:rFonts w:ascii="Arial" w:cs="Arial" w:eastAsia="Arial" w:hAnsi="Arial"/>
          <w:sz w:val="15"/>
          <w:szCs w:val="15"/>
          <w:color w:val="auto"/>
        </w:rPr>
        <w:t>The transaction price allocated to remaining performance obligations represents contracted revenue that has not yet been recognized, which includes contract liabilities and non-cancelable amounts that will be invoiced and recognized as revenue in future periods and excludes performance obligations that are subject to cancellation terms. The Company has elected not to disclose information regarding the transaction price allocated to the remaining performance obligations for which the original expected duration of the contract is one year or less. The amount of transaction price allocated to the remaining performance obligations for contracts with original expected duration over one year as of March 31, 2026 was $7.6 million. The Company expects to recognize substantially all of this amount within the next twelve months.</w:t>
      </w:r>
    </w:p>
    <w:p>
      <w:pPr>
        <w:spacing w:after="0" w:line="118" w:lineRule="exact"/>
        <w:rPr>
          <w:sz w:val="20"/>
          <w:szCs w:val="20"/>
          <w:color w:val="auto"/>
        </w:rPr>
      </w:pPr>
    </w:p>
    <w:p>
      <w:pPr>
        <w:ind w:right="420" w:firstLine="551"/>
        <w:spacing w:after="0" w:line="294" w:lineRule="auto"/>
        <w:rPr>
          <w:sz w:val="20"/>
          <w:szCs w:val="20"/>
          <w:color w:val="auto"/>
        </w:rPr>
      </w:pPr>
      <w:r>
        <w:rPr>
          <w:rFonts w:ascii="Arial" w:cs="Arial" w:eastAsia="Arial" w:hAnsi="Arial"/>
          <w:sz w:val="15"/>
          <w:szCs w:val="15"/>
          <w:color w:val="auto"/>
        </w:rPr>
        <w:t>Additionally, for the three months ended March 31, 2026 and 2025, the Company recorded $10.3 million and $3.9 million, respectively, of adjustments to revenue related to services delivered in prior periods, which is based on variability that was subsequently resolved.</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Collaboration Agreements</w:t>
      </w:r>
    </w:p>
    <w:p>
      <w:pPr>
        <w:spacing w:after="0" w:line="161" w:lineRule="exact"/>
        <w:rPr>
          <w:sz w:val="20"/>
          <w:szCs w:val="20"/>
          <w:color w:val="auto"/>
        </w:rPr>
      </w:pPr>
    </w:p>
    <w:p>
      <w:pPr>
        <w:ind w:right="100" w:firstLine="551"/>
        <w:spacing w:after="0" w:line="268" w:lineRule="auto"/>
        <w:rPr>
          <w:sz w:val="20"/>
          <w:szCs w:val="20"/>
          <w:color w:val="auto"/>
        </w:rPr>
      </w:pPr>
      <w:r>
        <w:rPr>
          <w:rFonts w:ascii="Arial" w:cs="Arial" w:eastAsia="Arial" w:hAnsi="Arial"/>
          <w:sz w:val="15"/>
          <w:szCs w:val="15"/>
          <w:color w:val="auto"/>
        </w:rPr>
        <w:t>The Company is party to various collaboration and licensing agreements under which the Company out-licenses certain know-how and molecular data. The collaboration arrangements are intended to solidify the Company’s third-party partnerships to align oncology capabilities and create industry-leading molecular oncology research platforms to accelerate drug development and novel research. Under these collaboration arrangements, the Company generally receives a split of fees from its collaborative partners that are earned pursuant to statements of work (“SOWs”) executed with end users of the Company’s licensed molecular data.</w:t>
      </w:r>
    </w:p>
    <w:p>
      <w:pPr>
        <w:spacing w:after="0" w:line="114" w:lineRule="exact"/>
        <w:rPr>
          <w:sz w:val="20"/>
          <w:szCs w:val="20"/>
          <w:color w:val="auto"/>
        </w:rPr>
      </w:pPr>
    </w:p>
    <w:p>
      <w:pPr>
        <w:ind w:right="20" w:firstLine="551"/>
        <w:spacing w:after="0" w:line="263" w:lineRule="auto"/>
        <w:rPr>
          <w:sz w:val="20"/>
          <w:szCs w:val="20"/>
          <w:color w:val="auto"/>
        </w:rPr>
      </w:pPr>
      <w:r>
        <w:rPr>
          <w:rFonts w:ascii="Arial" w:cs="Arial" w:eastAsia="Arial" w:hAnsi="Arial"/>
          <w:sz w:val="15"/>
          <w:szCs w:val="15"/>
          <w:color w:val="auto"/>
        </w:rPr>
        <w:t>The Company’s collaboration and licensing agreements are within the scope of ASC Topic 808, Collaborative Arrangements (“ASC 808”) and ASC 606 because the counterparty to these agreements meets the definition of a customer. As such, the Company recognizes revenue earned from the licenses of molecular data granted to the Company’s collaborative partners in accordance with ASC 606. Each license of molecular data granted by the Company to a collaborative partner represents a distinct performance obligation in the contract. The transaction price for a given arrangement is entirely variable and depends on the SOWs executed by the counterparty with end users. The amount of revenue allocated to each license is equal to the amount of revenue to which the Company expects to be entitled. The Company recognizes revenue at the point in time that it delivers the molecular data to the third-party collaborative partner.</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61" w:lineRule="exact"/>
        <w:rPr>
          <w:sz w:val="20"/>
          <w:szCs w:val="20"/>
          <w:color w:val="auto"/>
        </w:rPr>
      </w:pPr>
    </w:p>
    <w:p>
      <w:pPr>
        <w:ind w:right="260" w:firstLine="551"/>
        <w:spacing w:after="0" w:line="275" w:lineRule="auto"/>
        <w:rPr>
          <w:sz w:val="20"/>
          <w:szCs w:val="20"/>
          <w:color w:val="auto"/>
        </w:rPr>
      </w:pPr>
      <w:r>
        <w:rPr>
          <w:rFonts w:ascii="Arial" w:cs="Arial" w:eastAsia="Arial" w:hAnsi="Arial"/>
          <w:sz w:val="15"/>
          <w:szCs w:val="15"/>
          <w:color w:val="auto"/>
        </w:rPr>
        <w:t>Financial instruments that potentially expose the Company to concentration of credit risk consist primarily of cash, cash equivalents, marketable securities, and accounts receivable. The Company maintains its cash primarily with domestic financial institutions of high credit quality, with balances that exceed amounts insured by the Federal Deposit Insurance Corporation as of March 31, 2026 and December 31, 2025, respectively.</w:t>
      </w:r>
    </w:p>
    <w:p>
      <w:pPr>
        <w:spacing w:after="0" w:line="108" w:lineRule="exact"/>
        <w:rPr>
          <w:sz w:val="20"/>
          <w:szCs w:val="20"/>
          <w:color w:val="auto"/>
        </w:rPr>
      </w:pPr>
    </w:p>
    <w:p>
      <w:pPr>
        <w:ind w:right="180" w:firstLine="551"/>
        <w:spacing w:after="0" w:line="275" w:lineRule="auto"/>
        <w:rPr>
          <w:sz w:val="20"/>
          <w:szCs w:val="20"/>
          <w:color w:val="auto"/>
        </w:rPr>
      </w:pPr>
      <w:r>
        <w:rPr>
          <w:rFonts w:ascii="Arial" w:cs="Arial" w:eastAsia="Arial" w:hAnsi="Arial"/>
          <w:sz w:val="15"/>
          <w:szCs w:val="15"/>
          <w:color w:val="auto"/>
        </w:rPr>
        <w:t>The Company invests in treasury bills issued by the U.S. Government. U.S. treasury bills with original maturities of three months or less are classified within cash equivalents. Short-term marketable securities are comprised of U.S. treasury bills with original maturities between three and twelve months. The Company believes it is not exposed to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significant credit risk on cash, cash equivalents, and marketable securities and performs periodic evaluations of the credit standing of such institutions. The goal of the Company’s investment policy is to ensure safety and preservation of the principal balance, and diversification of risk over cash balances held on deposit.</w:t>
      </w:r>
    </w:p>
    <w:p>
      <w:pPr>
        <w:spacing w:after="0" w:line="94" w:lineRule="exact"/>
        <w:rPr>
          <w:sz w:val="20"/>
          <w:szCs w:val="20"/>
          <w:color w:val="auto"/>
        </w:rPr>
      </w:pPr>
    </w:p>
    <w:p>
      <w:pPr>
        <w:ind w:right="20" w:firstLine="551"/>
        <w:spacing w:after="0" w:line="267" w:lineRule="auto"/>
        <w:rPr>
          <w:sz w:val="20"/>
          <w:szCs w:val="20"/>
          <w:color w:val="auto"/>
        </w:rPr>
      </w:pPr>
      <w:r>
        <w:rPr>
          <w:rFonts w:ascii="Arial" w:cs="Arial" w:eastAsia="Arial" w:hAnsi="Arial"/>
          <w:sz w:val="15"/>
          <w:szCs w:val="15"/>
          <w:color w:val="auto"/>
        </w:rPr>
        <w:t>The Company is subject to credit risk from its accounts receivable. The Company’s accounts receivable arise from the provision of molecular profiling services and pharma research and development services, primarily with biopharmaceutical companies, all of which have high credit ratings. The Company has not experienced any material losses related to receivables from individual customers, or groups of customers. The Company does not require collateral. Accounts receivable are recorded net of allowance for credit losses, if any. Concentrations of credit risk are limited due to the number of payers and their dispersion across multiple geographic regions.</w:t>
      </w:r>
    </w:p>
    <w:p>
      <w:pPr>
        <w:spacing w:after="0" w:line="312" w:lineRule="exact"/>
        <w:rPr>
          <w:sz w:val="20"/>
          <w:szCs w:val="20"/>
          <w:color w:val="auto"/>
        </w:rPr>
      </w:pPr>
    </w:p>
    <w:p>
      <w:pPr>
        <w:ind w:right="20" w:firstLine="551"/>
        <w:spacing w:after="0" w:line="265" w:lineRule="auto"/>
        <w:rPr>
          <w:sz w:val="20"/>
          <w:szCs w:val="20"/>
          <w:color w:val="auto"/>
        </w:rPr>
      </w:pPr>
      <w:r>
        <w:rPr>
          <w:rFonts w:ascii="Arial" w:cs="Arial" w:eastAsia="Arial" w:hAnsi="Arial"/>
          <w:sz w:val="15"/>
          <w:szCs w:val="15"/>
          <w:color w:val="auto"/>
        </w:rPr>
        <w:t>For the three months ended March 31, 2026 and 2025, the Company's revenues were primarily derived from the sale of Caris molecular profiling services. As discussed above, payment terms of the services are a function of a patient’s existing insurance benefits and applicable reimbursement contracts established between the Company and payers. Revenue associated with each payer, including its affiliated entities, as a percentage of the Company’s total revenue for the respective period, and accounts receivable balance attributable to each payer, including its affiliated entities, as a percentage of the Company’s total accounts receivable balance at the respective condensed consolidated balance sheet date,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4"/>
          </w:tcPr>
          <w:p>
            <w:pPr>
              <w:ind w:left="280"/>
              <w:spacing w:after="0"/>
              <w:rPr>
                <w:sz w:val="20"/>
                <w:szCs w:val="20"/>
                <w:color w:val="auto"/>
              </w:rPr>
            </w:pPr>
            <w:r>
              <w:rPr>
                <w:rFonts w:ascii="Arial" w:cs="Arial" w:eastAsia="Arial" w:hAnsi="Arial"/>
                <w:sz w:val="15"/>
                <w:szCs w:val="15"/>
                <w:b w:val="1"/>
                <w:bCs w:val="1"/>
                <w:color w:val="auto"/>
              </w:rPr>
              <w:t>% Revenue for the three months ended March 31,</w:t>
            </w:r>
          </w:p>
        </w:tc>
        <w:tc>
          <w:tcPr>
            <w:tcW w:w="4180" w:type="dxa"/>
            <w:vAlign w:val="bottom"/>
            <w:gridSpan w:val="3"/>
          </w:tcPr>
          <w:p>
            <w:pPr>
              <w:ind w:left="1060"/>
              <w:spacing w:after="0"/>
              <w:rPr>
                <w:sz w:val="20"/>
                <w:szCs w:val="20"/>
                <w:color w:val="auto"/>
              </w:rPr>
            </w:pPr>
            <w:r>
              <w:rPr>
                <w:rFonts w:ascii="Arial" w:cs="Arial" w:eastAsia="Arial" w:hAnsi="Arial"/>
                <w:sz w:val="15"/>
                <w:szCs w:val="15"/>
                <w:b w:val="1"/>
                <w:bCs w:val="1"/>
                <w:color w:val="auto"/>
              </w:rPr>
              <w:t>% Accounts receivable as of</w:t>
            </w:r>
          </w:p>
        </w:tc>
      </w:tr>
      <w:tr>
        <w:trPr>
          <w:trHeight w:val="223"/>
        </w:trPr>
        <w:tc>
          <w:tcPr>
            <w:tcW w:w="2840" w:type="dxa"/>
            <w:vAlign w:val="bottom"/>
            <w:gridSpan w:val="2"/>
          </w:tcPr>
          <w:p>
            <w:pPr>
              <w:ind w:left="940"/>
              <w:spacing w:after="0"/>
              <w:rPr>
                <w:sz w:val="20"/>
                <w:szCs w:val="20"/>
                <w:color w:val="auto"/>
              </w:rPr>
            </w:pPr>
            <w:r>
              <w:rPr>
                <w:rFonts w:ascii="Arial" w:cs="Arial" w:eastAsia="Arial" w:hAnsi="Arial"/>
                <w:sz w:val="15"/>
                <w:szCs w:val="15"/>
                <w:b w:val="1"/>
                <w:bCs w:val="1"/>
                <w:color w:val="auto"/>
              </w:rPr>
              <w:t>Major Payer</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9"/>
                <w:szCs w:val="19"/>
                <w:color w:val="auto"/>
              </w:rPr>
            </w:pPr>
          </w:p>
        </w:tc>
        <w:tc>
          <w:tcPr>
            <w:tcW w:w="2140" w:type="dxa"/>
            <w:vAlign w:val="bottom"/>
            <w:tcBorders>
              <w:top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rPr>
              <w:t>March 31, 2026</w:t>
            </w:r>
          </w:p>
        </w:tc>
        <w:tc>
          <w:tcPr>
            <w:tcW w:w="2040" w:type="dxa"/>
            <w:vAlign w:val="bottom"/>
            <w:tcBorders>
              <w:top w:val="single" w:sz="8" w:color="auto"/>
            </w:tcBorders>
          </w:tcPr>
          <w:p>
            <w:pPr>
              <w:ind w:left="320"/>
              <w:spacing w:after="0"/>
              <w:rPr>
                <w:sz w:val="20"/>
                <w:szCs w:val="20"/>
                <w:color w:val="auto"/>
              </w:rPr>
            </w:pPr>
            <w:r>
              <w:rPr>
                <w:rFonts w:ascii="Arial" w:cs="Arial" w:eastAsia="Arial" w:hAnsi="Arial"/>
                <w:sz w:val="15"/>
                <w:szCs w:val="15"/>
                <w:b w:val="1"/>
                <w:bCs w:val="1"/>
                <w:color w:val="auto"/>
              </w:rPr>
              <w:t>December 31, 2025</w:t>
            </w:r>
          </w:p>
        </w:tc>
      </w:tr>
      <w:tr>
        <w:trPr>
          <w:trHeight w:val="205"/>
        </w:trPr>
        <w:tc>
          <w:tcPr>
            <w:tcW w:w="2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r>
      <w:tr>
        <w:trPr>
          <w:trHeight w:val="210"/>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Payer 1</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40.2%</w:t>
            </w:r>
          </w:p>
        </w:tc>
        <w:tc>
          <w:tcPr>
            <w:tcW w:w="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51.2%</w:t>
            </w:r>
          </w:p>
        </w:tc>
        <w:tc>
          <w:tcPr>
            <w:tcW w:w="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25.0%</w:t>
            </w:r>
          </w:p>
        </w:tc>
        <w:tc>
          <w:tcPr>
            <w:tcW w:w="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18.4%</w:t>
            </w:r>
          </w:p>
        </w:tc>
      </w:tr>
      <w:tr>
        <w:trPr>
          <w:trHeight w:val="209"/>
        </w:trPr>
        <w:tc>
          <w:tcPr>
            <w:tcW w:w="2840" w:type="dxa"/>
            <w:vAlign w:val="bottom"/>
            <w:gridSpan w:val="2"/>
          </w:tcPr>
          <w:p>
            <w:pPr>
              <w:spacing w:after="0"/>
              <w:rPr>
                <w:sz w:val="20"/>
                <w:szCs w:val="20"/>
                <w:color w:val="auto"/>
              </w:rPr>
            </w:pPr>
            <w:r>
              <w:rPr>
                <w:rFonts w:ascii="Arial" w:cs="Arial" w:eastAsia="Arial" w:hAnsi="Arial"/>
                <w:sz w:val="15"/>
                <w:szCs w:val="15"/>
                <w:color w:val="auto"/>
              </w:rPr>
              <w:t>Payer 2</w:t>
            </w:r>
          </w:p>
        </w:tc>
        <w:tc>
          <w:tcPr>
            <w:tcW w:w="2040" w:type="dxa"/>
            <w:vAlign w:val="bottom"/>
          </w:tcPr>
          <w:p>
            <w:pPr>
              <w:jc w:val="center"/>
              <w:spacing w:after="0"/>
              <w:rPr>
                <w:sz w:val="20"/>
                <w:szCs w:val="20"/>
                <w:color w:val="auto"/>
              </w:rPr>
            </w:pPr>
            <w:r>
              <w:rPr>
                <w:rFonts w:ascii="Arial" w:cs="Arial" w:eastAsia="Arial" w:hAnsi="Arial"/>
                <w:sz w:val="15"/>
                <w:szCs w:val="15"/>
                <w:color w:val="auto"/>
              </w:rPr>
              <w:t>17.4%</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5"/>
                <w:szCs w:val="15"/>
                <w:color w:val="auto"/>
                <w:w w:val="98"/>
              </w:rPr>
              <w:t>33.6%</w:t>
            </w: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5"/>
                <w:szCs w:val="15"/>
                <w:color w:val="auto"/>
              </w:rPr>
              <w:t>22.6%</w:t>
            </w:r>
          </w:p>
        </w:tc>
      </w:tr>
      <w:tr>
        <w:trPr>
          <w:trHeight w:val="21"/>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Payer 3</w:t>
            </w:r>
          </w:p>
        </w:tc>
        <w:tc>
          <w:tcPr>
            <w:tcW w:w="20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12.8%</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r>
      <w:tr>
        <w:trPr>
          <w:trHeight w:val="21"/>
        </w:trPr>
        <w:tc>
          <w:tcPr>
            <w:tcW w:w="2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*Represents major payers below 10.0%.</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161" w:lineRule="exact"/>
        <w:rPr>
          <w:sz w:val="20"/>
          <w:szCs w:val="20"/>
          <w:color w:val="auto"/>
        </w:rPr>
      </w:pPr>
    </w:p>
    <w:p>
      <w:pPr>
        <w:ind w:right="160" w:firstLine="551"/>
        <w:spacing w:after="0" w:line="275" w:lineRule="auto"/>
        <w:rPr>
          <w:sz w:val="20"/>
          <w:szCs w:val="20"/>
          <w:color w:val="auto"/>
        </w:rPr>
      </w:pPr>
      <w:r>
        <w:rPr>
          <w:rFonts w:ascii="Arial" w:cs="Arial" w:eastAsia="Arial" w:hAnsi="Arial"/>
          <w:sz w:val="15"/>
          <w:szCs w:val="15"/>
          <w:color w:val="auto"/>
        </w:rPr>
        <w:t>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market participants would use in pricing an asset or liability.</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basis for these assumptions establishes a three-level fair value hierarchy, which prioritizes the inputs used in measuring fair value as follows:</w:t>
      </w:r>
    </w:p>
    <w:p>
      <w:pPr>
        <w:spacing w:after="0" w:line="172" w:lineRule="exact"/>
        <w:rPr>
          <w:sz w:val="20"/>
          <w:szCs w:val="20"/>
          <w:color w:val="auto"/>
        </w:rPr>
      </w:pPr>
    </w:p>
    <w:p>
      <w:pPr>
        <w:ind w:left="520" w:hanging="253"/>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 Observable inputs such as quoted prices in active markets for identical assets and liabilities;</w:t>
      </w:r>
    </w:p>
    <w:p>
      <w:pPr>
        <w:spacing w:after="0" w:line="25" w:lineRule="exact"/>
        <w:rPr>
          <w:rFonts w:ascii="Arial" w:cs="Arial" w:eastAsia="Arial" w:hAnsi="Arial"/>
          <w:sz w:val="15"/>
          <w:szCs w:val="15"/>
          <w:color w:val="auto"/>
        </w:rPr>
      </w:pPr>
    </w:p>
    <w:p>
      <w:pPr>
        <w:ind w:left="520" w:hanging="253"/>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 Inputs, other than quoted prices in active markets, that are observable either directly or indirectly; and</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 Unobservable inputs in which there is little or no market data, which require the reporting entity to develop its own assumptions.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Assets and liabilities measured at fair value are based on one or more of three valuation techniques. The three valuation techniques are as follows:</w:t>
      </w:r>
    </w:p>
    <w:p>
      <w:pPr>
        <w:spacing w:after="0" w:line="161" w:lineRule="exact"/>
        <w:rPr>
          <w:sz w:val="20"/>
          <w:szCs w:val="20"/>
          <w:color w:val="auto"/>
        </w:rPr>
      </w:pPr>
    </w:p>
    <w:p>
      <w:pPr>
        <w:ind w:left="520" w:hanging="253"/>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Market approach </w:t>
      </w:r>
      <w:r>
        <w:rPr>
          <w:rFonts w:ascii="Arial" w:cs="Arial" w:eastAsia="Arial" w:hAnsi="Arial"/>
          <w:sz w:val="15"/>
          <w:szCs w:val="15"/>
          <w:color w:val="auto"/>
        </w:rPr>
        <w:t>– Prices and other relevant information generated by market transactions involving identical or comparable assets or liabilities;</w:t>
      </w:r>
    </w:p>
    <w:p>
      <w:pPr>
        <w:spacing w:after="0" w:line="25" w:lineRule="exact"/>
        <w:rPr>
          <w:rFonts w:ascii="Arial" w:cs="Arial" w:eastAsia="Arial" w:hAnsi="Arial"/>
          <w:sz w:val="15"/>
          <w:szCs w:val="15"/>
          <w:color w:val="auto"/>
        </w:rPr>
      </w:pPr>
    </w:p>
    <w:p>
      <w:pPr>
        <w:ind w:left="520" w:hanging="253"/>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Cost approach </w:t>
      </w:r>
      <w:r>
        <w:rPr>
          <w:rFonts w:ascii="Arial" w:cs="Arial" w:eastAsia="Arial" w:hAnsi="Arial"/>
          <w:sz w:val="15"/>
          <w:szCs w:val="15"/>
          <w:color w:val="auto"/>
        </w:rPr>
        <w:t>– Amount that would be required to replace the service capacity of an asset (i.e., replacement cost); and</w:t>
      </w:r>
    </w:p>
    <w:p>
      <w:pPr>
        <w:spacing w:after="0" w:line="11" w:lineRule="exact"/>
        <w:rPr>
          <w:rFonts w:ascii="Arial" w:cs="Arial" w:eastAsia="Arial" w:hAnsi="Arial"/>
          <w:sz w:val="15"/>
          <w:szCs w:val="15"/>
          <w:color w:val="auto"/>
        </w:rPr>
      </w:pPr>
    </w:p>
    <w:p>
      <w:pPr>
        <w:ind w:left="540" w:right="420" w:hanging="273"/>
        <w:spacing w:after="0" w:line="275" w:lineRule="auto"/>
        <w:tabs>
          <w:tab w:leader="none" w:pos="513"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Income approach </w:t>
      </w:r>
      <w:r>
        <w:rPr>
          <w:rFonts w:ascii="Arial" w:cs="Arial" w:eastAsia="Arial" w:hAnsi="Arial"/>
          <w:sz w:val="15"/>
          <w:szCs w:val="15"/>
          <w:color w:val="auto"/>
        </w:rPr>
        <w:t>– Techniques to convert future amounts to a single present amount based on market expectations (including present value techniques,</w:t>
      </w:r>
      <w:r>
        <w:rPr>
          <w:rFonts w:ascii="Arial" w:cs="Arial" w:eastAsia="Arial" w:hAnsi="Arial"/>
          <w:sz w:val="15"/>
          <w:szCs w:val="15"/>
          <w:i w:val="1"/>
          <w:iCs w:val="1"/>
          <w:color w:val="auto"/>
        </w:rPr>
        <w:t xml:space="preserve"> </w:t>
      </w:r>
      <w:r>
        <w:rPr>
          <w:rFonts w:ascii="Arial" w:cs="Arial" w:eastAsia="Arial" w:hAnsi="Arial"/>
          <w:sz w:val="15"/>
          <w:szCs w:val="15"/>
          <w:color w:val="auto"/>
        </w:rPr>
        <w:t>option-pricing models, and lattice models).</w:t>
      </w:r>
    </w:p>
    <w:p>
      <w:pPr>
        <w:spacing w:after="0" w:line="119" w:lineRule="exact"/>
        <w:rPr>
          <w:sz w:val="20"/>
          <w:szCs w:val="20"/>
          <w:color w:val="auto"/>
        </w:rPr>
      </w:pPr>
    </w:p>
    <w:p>
      <w:pPr>
        <w:ind w:right="220" w:firstLine="551"/>
        <w:spacing w:after="0" w:line="294" w:lineRule="auto"/>
        <w:rPr>
          <w:sz w:val="20"/>
          <w:szCs w:val="20"/>
          <w:color w:val="auto"/>
        </w:rPr>
      </w:pPr>
      <w:r>
        <w:rPr>
          <w:rFonts w:ascii="Arial" w:cs="Arial" w:eastAsia="Arial" w:hAnsi="Arial"/>
          <w:sz w:val="15"/>
          <w:szCs w:val="15"/>
          <w:color w:val="auto"/>
        </w:rPr>
        <w:t>Financial instruments consist of cash, cash equivalents, restricted cash, short-term marketable securities, accounts receivable, prepaid expenses and other current assets, accounts payable, accrued expenses and other current liabilities, debt, warrants, and derivative instruments.</w:t>
      </w:r>
    </w:p>
    <w:p>
      <w:pPr>
        <w:spacing w:after="0" w:line="94" w:lineRule="exact"/>
        <w:rPr>
          <w:sz w:val="20"/>
          <w:szCs w:val="20"/>
          <w:color w:val="auto"/>
        </w:rPr>
      </w:pPr>
    </w:p>
    <w:p>
      <w:pPr>
        <w:ind w:right="540" w:firstLine="551"/>
        <w:spacing w:after="0" w:line="294" w:lineRule="auto"/>
        <w:rPr>
          <w:sz w:val="20"/>
          <w:szCs w:val="20"/>
          <w:color w:val="auto"/>
        </w:rPr>
      </w:pPr>
      <w:r>
        <w:rPr>
          <w:rFonts w:ascii="Arial" w:cs="Arial" w:eastAsia="Arial" w:hAnsi="Arial"/>
          <w:sz w:val="15"/>
          <w:szCs w:val="15"/>
          <w:color w:val="auto"/>
        </w:rPr>
        <w:t>As of March 31, 2026 and December 31, 2025, the carrying amounts of the Company’s cash equivalents, restricted cash, accounts receivable, prepaid expenses and other current assets, accounts payable, accrued expenses and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60"/>
        <w:spacing w:after="0" w:line="294" w:lineRule="auto"/>
        <w:rPr>
          <w:sz w:val="20"/>
          <w:szCs w:val="20"/>
          <w:color w:val="auto"/>
        </w:rPr>
      </w:pPr>
      <w:r>
        <w:rPr>
          <w:rFonts w:ascii="Arial" w:cs="Arial" w:eastAsia="Arial" w:hAnsi="Arial"/>
          <w:sz w:val="15"/>
          <w:szCs w:val="15"/>
          <w:color w:val="auto"/>
        </w:rPr>
        <w:t>other current liabilities approximate their fair value based on the short-term nature of these items. There were no transfers between Levels 1, 2 or 3 for the periods ended March 31, 2026 and December 31, 2025.</w:t>
      </w:r>
    </w:p>
    <w:p>
      <w:pPr>
        <w:spacing w:after="0" w:line="94" w:lineRule="exact"/>
        <w:rPr>
          <w:sz w:val="20"/>
          <w:szCs w:val="20"/>
          <w:color w:val="auto"/>
        </w:rPr>
      </w:pPr>
    </w:p>
    <w:p>
      <w:pPr>
        <w:ind w:right="300" w:firstLine="551"/>
        <w:spacing w:after="0" w:line="294" w:lineRule="auto"/>
        <w:rPr>
          <w:sz w:val="20"/>
          <w:szCs w:val="20"/>
          <w:color w:val="auto"/>
        </w:rPr>
      </w:pPr>
      <w:r>
        <w:rPr>
          <w:rFonts w:ascii="Arial" w:cs="Arial" w:eastAsia="Arial" w:hAnsi="Arial"/>
          <w:sz w:val="15"/>
          <w:szCs w:val="15"/>
          <w:color w:val="auto"/>
        </w:rPr>
        <w:t>The Company’s financial assets and liabilities subject to fair value measurements on a recurring basis and the level of inputs used in such measurements were as follows: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5"/>
                <w:szCs w:val="15"/>
                <w:b w:val="1"/>
                <w:bCs w:val="1"/>
                <w:color w:val="auto"/>
              </w:rPr>
              <w:t>As of March 31, 2026</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21"/>
        </w:trPr>
        <w:tc>
          <w:tcPr>
            <w:tcW w:w="5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Level 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Level 3</w:t>
            </w:r>
          </w:p>
        </w:tc>
      </w:tr>
      <w:tr>
        <w:trPr>
          <w:trHeight w:val="256"/>
        </w:trPr>
        <w:tc>
          <w:tcPr>
            <w:tcW w:w="5400" w:type="dxa"/>
            <w:vAlign w:val="bottom"/>
          </w:tcPr>
          <w:p>
            <w:pPr>
              <w:ind w:left="20"/>
              <w:spacing w:after="0"/>
              <w:rPr>
                <w:sz w:val="20"/>
                <w:szCs w:val="20"/>
                <w:color w:val="auto"/>
              </w:rPr>
            </w:pPr>
            <w:r>
              <w:rPr>
                <w:rFonts w:ascii="Arial" w:cs="Arial" w:eastAsia="Arial" w:hAnsi="Arial"/>
                <w:sz w:val="15"/>
                <w:szCs w:val="15"/>
                <w:b w:val="1"/>
                <w:bCs w:val="1"/>
                <w:color w:val="auto"/>
              </w:rPr>
              <w:t>Financial assets</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(amounts in thousands)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Short-term marketable securities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2,315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476"/>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5"/>
                <w:szCs w:val="15"/>
                <w:b w:val="1"/>
                <w:bCs w:val="1"/>
                <w:color w:val="auto"/>
              </w:rPr>
              <w:t>As of December 31, 2025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1"/>
        </w:trPr>
        <w:tc>
          <w:tcPr>
            <w:tcW w:w="5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Level 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Level 3</w:t>
            </w:r>
          </w:p>
        </w:tc>
      </w:tr>
      <w:tr>
        <w:trPr>
          <w:trHeight w:val="256"/>
        </w:trPr>
        <w:tc>
          <w:tcPr>
            <w:tcW w:w="5400" w:type="dxa"/>
            <w:vAlign w:val="bottom"/>
          </w:tcPr>
          <w:p>
            <w:pPr>
              <w:ind w:left="20"/>
              <w:spacing w:after="0"/>
              <w:rPr>
                <w:sz w:val="20"/>
                <w:szCs w:val="20"/>
                <w:color w:val="auto"/>
              </w:rPr>
            </w:pPr>
            <w:r>
              <w:rPr>
                <w:rFonts w:ascii="Arial" w:cs="Arial" w:eastAsia="Arial" w:hAnsi="Arial"/>
                <w:sz w:val="15"/>
                <w:szCs w:val="15"/>
                <w:b w:val="1"/>
                <w:bCs w:val="1"/>
                <w:color w:val="auto"/>
              </w:rPr>
              <w:t>Financial assets</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(amounts in thousands)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5"/>
        </w:trPr>
        <w:tc>
          <w:tcPr>
            <w:tcW w:w="5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Short-term marketable securities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r>
      <w:tr>
        <w:trPr>
          <w:trHeight w:val="21"/>
        </w:trPr>
        <w:tc>
          <w:tcPr>
            <w:tcW w:w="5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Debt - 2023 Term Loan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As of March 31, 2026, the estimated fair value of the 2023 Term Loan (as defined in </w:t>
      </w:r>
      <w:r>
        <w:rPr>
          <w:rFonts w:ascii="Arial" w:cs="Arial" w:eastAsia="Arial" w:hAnsi="Arial"/>
          <w:sz w:val="15"/>
          <w:szCs w:val="15"/>
          <w:u w:val="single" w:color="auto"/>
          <w:color w:val="0000FF"/>
        </w:rPr>
        <w:t>Note 6</w:t>
      </w:r>
      <w:r>
        <w:rPr>
          <w:rFonts w:ascii="Arial" w:cs="Arial" w:eastAsia="Arial" w:hAnsi="Arial"/>
          <w:sz w:val="15"/>
          <w:szCs w:val="15"/>
          <w:color w:val="auto"/>
        </w:rPr>
        <w:t>) was $406.5 million, compared to a carrying value of</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 xml:space="preserve">$381.1 million. As of December 31, 2025, the estimated fair value of the 2023 Term Loan was $373.5 million, compared to a carrying value of $378.5 million. Due to the Company’s repayment of the 2023 Term Loan on April 1, 2026 (as discussed in </w:t>
      </w:r>
      <w:r>
        <w:rPr>
          <w:rFonts w:ascii="Arial" w:cs="Arial" w:eastAsia="Arial" w:hAnsi="Arial"/>
          <w:sz w:val="15"/>
          <w:szCs w:val="15"/>
          <w:u w:val="single" w:color="auto"/>
          <w:color w:val="0000FF"/>
        </w:rPr>
        <w:t>Note 11</w:t>
      </w:r>
      <w:r>
        <w:rPr>
          <w:rFonts w:ascii="Arial" w:cs="Arial" w:eastAsia="Arial" w:hAnsi="Arial"/>
          <w:sz w:val="15"/>
          <w:szCs w:val="15"/>
          <w:color w:val="auto"/>
        </w:rPr>
        <w:t>), the Company determined that the fair value of the 2023 Term Loan as of March 31, 2026 was equal to the amount repaid.</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 per Share Attributable to Common Shareholders</w:t>
      </w:r>
    </w:p>
    <w:p>
      <w:pPr>
        <w:spacing w:after="0" w:line="172" w:lineRule="exact"/>
        <w:rPr>
          <w:sz w:val="20"/>
          <w:szCs w:val="20"/>
          <w:color w:val="auto"/>
        </w:rPr>
      </w:pPr>
    </w:p>
    <w:p>
      <w:pPr>
        <w:ind w:right="20" w:firstLine="551"/>
        <w:spacing w:after="0" w:line="261" w:lineRule="auto"/>
        <w:rPr>
          <w:sz w:val="20"/>
          <w:szCs w:val="20"/>
          <w:color w:val="auto"/>
        </w:rPr>
      </w:pPr>
      <w:r>
        <w:rPr>
          <w:rFonts w:ascii="Arial" w:cs="Arial" w:eastAsia="Arial" w:hAnsi="Arial"/>
          <w:sz w:val="15"/>
          <w:szCs w:val="15"/>
          <w:color w:val="auto"/>
        </w:rPr>
        <w:t>The Company calculates its basic and diluted net loss per share attributable to common shareholders in conformity with the two-class method required for companies with participating securities. Each series of the Company’s redeemable convertible preferred stock is considered to be a participating security because the preferred shareholders have a right to receive dividends on a pari passu basis with the Company’s common shareholders. The two -class method determines net income (loss) per share for each class of common stock and participating security according to dividends declared or accumulated and participating rights in undistributed earnings. The two-class method requires income (loss) available to common shareholders for the period to be allocated between common and participating securities based upon the respective rights of each to share in earnings as if all income (loss) for the period had been distributed. The participating securities are not required to participate in the losses of the Company, and therefore during periods of loss there is no allocation required under the two-class method between common and participating securities.</w:t>
      </w:r>
    </w:p>
    <w:p>
      <w:pPr>
        <w:spacing w:after="0" w:line="118" w:lineRule="exact"/>
        <w:rPr>
          <w:sz w:val="20"/>
          <w:szCs w:val="20"/>
          <w:color w:val="auto"/>
        </w:rPr>
      </w:pPr>
    </w:p>
    <w:p>
      <w:pPr>
        <w:ind w:right="80" w:firstLine="551"/>
        <w:spacing w:after="0" w:line="260" w:lineRule="auto"/>
        <w:rPr>
          <w:sz w:val="20"/>
          <w:szCs w:val="20"/>
          <w:color w:val="auto"/>
        </w:rPr>
      </w:pPr>
      <w:r>
        <w:rPr>
          <w:rFonts w:ascii="Arial" w:cs="Arial" w:eastAsia="Arial" w:hAnsi="Arial"/>
          <w:sz w:val="15"/>
          <w:szCs w:val="15"/>
          <w:color w:val="auto"/>
        </w:rPr>
        <w:t>Because the Company has reported a net loss for the three months ended March 31, 2026 and 2025, basic net loss per share attributable to common shareholders is calculated by dividing net loss attributable to common shareholders by the weighted-average common stock outstanding during the period, without consideration for potential common stock equivalents. Net loss attributable to common shareholders is equal to net loss less accretion on preferred securities to their redemption value to the extent such securities are outstanding during the period, where applicable. Diluted net loss per share attributable to common shareholders is calculated by adjusting the weighted-average stock outstanding for the dilutive effect of potential common stock equivalents outstanding. For purposes of calculating the diluted net loss per share attributable to common shareholders, redeemable convertible preferred stock, promissory notes, warrants, restricted stock units, and stock options are considered to be potential common stock equivalents but are excluded from the calculation of diluted net loss per share attributable to common shareholders because their effect would be anti-dilutive. Therefore, basic and diluted net loss per share attributable to common shareholders was the same for all periods presented.</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72" w:lineRule="exact"/>
        <w:rPr>
          <w:sz w:val="20"/>
          <w:szCs w:val="20"/>
          <w:color w:val="auto"/>
        </w:rPr>
      </w:pPr>
    </w:p>
    <w:p>
      <w:pPr>
        <w:ind w:right="80" w:firstLine="551"/>
        <w:spacing w:after="0" w:line="268" w:lineRule="auto"/>
        <w:rPr>
          <w:sz w:val="20"/>
          <w:szCs w:val="20"/>
          <w:color w:val="auto"/>
        </w:rPr>
      </w:pPr>
      <w:r>
        <w:rPr>
          <w:rFonts w:ascii="Arial" w:cs="Arial" w:eastAsia="Arial" w:hAnsi="Arial"/>
          <w:sz w:val="15"/>
          <w:szCs w:val="15"/>
          <w:color w:val="auto"/>
        </w:rPr>
        <w:t xml:space="preserve">In December 2023, the FASB issued ASU No. 2023-09, </w:t>
      </w:r>
      <w:r>
        <w:rPr>
          <w:rFonts w:ascii="Arial" w:cs="Arial" w:eastAsia="Arial" w:hAnsi="Arial"/>
          <w:sz w:val="15"/>
          <w:szCs w:val="15"/>
          <w:i w:val="1"/>
          <w:iCs w:val="1"/>
          <w:color w:val="auto"/>
        </w:rPr>
        <w:t>Income Taxes (Topic 740): Improvements to Income Tax Disclosures</w:t>
      </w:r>
      <w:r>
        <w:rPr>
          <w:rFonts w:ascii="Arial" w:cs="Arial" w:eastAsia="Arial" w:hAnsi="Arial"/>
          <w:sz w:val="15"/>
          <w:szCs w:val="15"/>
          <w:color w:val="auto"/>
        </w:rPr>
        <w:t xml:space="preserve"> which requires presentation of specific categories of reconciling items, as well as reconciling items that meet a quantitative threshold, in the reconciliation between the income tax provision and the income tax provision using statutory tax rates. The standard also requires disclosure of income taxes paid disaggregated by jurisdiction with separate disclosure of income taxes paid to individual jurisdictions that meet a quantitative threshold. The ASU applies to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entities subject to income taxes and is intended to help investors better understand an entity's exposure to potential changes in jurisdictional tax legislation and assess income tax information that affects cash flow forecasts and capital allocation decisions. The ASU is effective for annual periods beginning after December 15, 2024, with early adoption permitted. The Company adopted this ASU on January 1, 2025. The adoption had no material impact on the Company's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Issued Accounting Pronouncements Not Yet Adopted</w:t>
      </w:r>
    </w:p>
    <w:p>
      <w:pPr>
        <w:spacing w:after="0" w:line="172" w:lineRule="exact"/>
        <w:rPr>
          <w:sz w:val="20"/>
          <w:szCs w:val="20"/>
          <w:color w:val="auto"/>
        </w:rPr>
      </w:pPr>
    </w:p>
    <w:p>
      <w:pPr>
        <w:ind w:firstLine="551"/>
        <w:spacing w:after="0" w:line="265" w:lineRule="auto"/>
        <w:rPr>
          <w:sz w:val="20"/>
          <w:szCs w:val="20"/>
          <w:color w:val="auto"/>
        </w:rPr>
      </w:pPr>
      <w:r>
        <w:rPr>
          <w:rFonts w:ascii="Arial" w:cs="Arial" w:eastAsia="Arial" w:hAnsi="Arial"/>
          <w:sz w:val="15"/>
          <w:szCs w:val="15"/>
          <w:color w:val="auto"/>
        </w:rPr>
        <w:t xml:space="preserve">In November 2024, the FASB issued ASU No. 2024-03, </w:t>
      </w:r>
      <w:r>
        <w:rPr>
          <w:rFonts w:ascii="Arial" w:cs="Arial" w:eastAsia="Arial" w:hAnsi="Arial"/>
          <w:sz w:val="15"/>
          <w:szCs w:val="15"/>
          <w:i w:val="1"/>
          <w:iCs w:val="1"/>
          <w:color w:val="auto"/>
        </w:rPr>
        <w:t>Income Statement- Reporting Comprehensive Income-Expense disaggregation disclosures (Subtopic</w:t>
      </w:r>
      <w:r>
        <w:rPr>
          <w:rFonts w:ascii="Arial" w:cs="Arial" w:eastAsia="Arial" w:hAnsi="Arial"/>
          <w:sz w:val="15"/>
          <w:szCs w:val="15"/>
          <w:color w:val="auto"/>
        </w:rPr>
        <w:t xml:space="preserve"> </w:t>
      </w:r>
      <w:r>
        <w:rPr>
          <w:rFonts w:ascii="Arial" w:cs="Arial" w:eastAsia="Arial" w:hAnsi="Arial"/>
          <w:sz w:val="15"/>
          <w:szCs w:val="15"/>
          <w:i w:val="1"/>
          <w:iCs w:val="1"/>
          <w:color w:val="auto"/>
        </w:rPr>
        <w:t>220-40) Disaggregation of Income Statement Expenses</w:t>
      </w:r>
      <w:r>
        <w:rPr>
          <w:rFonts w:ascii="Arial" w:cs="Arial" w:eastAsia="Arial" w:hAnsi="Arial"/>
          <w:sz w:val="15"/>
          <w:szCs w:val="15"/>
          <w:color w:val="auto"/>
        </w:rPr>
        <w:t>. This ASU requires disclosure of specified information about certain costs and expenses in the notes to</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This ASU is effective for annual periods beginning after December 15, 2026, and interim periods within fiscal years beginning after December 15, 2027. Adoption of this ASU should be applied on a prospective basis. Early adoption is permitted. We are currently evaluating the impact that this guidance will have on the disclosures within our financial statements, and expect to adopt this ASU for the fiscal year beginning January 1, 2027.</w:t>
      </w:r>
    </w:p>
    <w:p>
      <w:pPr>
        <w:spacing w:after="0" w:line="116" w:lineRule="exact"/>
        <w:rPr>
          <w:sz w:val="20"/>
          <w:szCs w:val="20"/>
          <w:color w:val="auto"/>
        </w:rPr>
      </w:pPr>
    </w:p>
    <w:p>
      <w:pPr>
        <w:ind w:right="40" w:firstLine="551"/>
        <w:spacing w:after="0" w:line="262" w:lineRule="auto"/>
        <w:rPr>
          <w:sz w:val="20"/>
          <w:szCs w:val="20"/>
          <w:color w:val="auto"/>
        </w:rPr>
      </w:pPr>
      <w:r>
        <w:rPr>
          <w:rFonts w:ascii="Arial" w:cs="Arial" w:eastAsia="Arial" w:hAnsi="Arial"/>
          <w:sz w:val="15"/>
          <w:szCs w:val="15"/>
          <w:color w:val="auto"/>
        </w:rPr>
        <w:t xml:space="preserve">In September 2025, the FASB issued ASU No. 2025-06, </w:t>
      </w:r>
      <w:r>
        <w:rPr>
          <w:rFonts w:ascii="Arial" w:cs="Arial" w:eastAsia="Arial" w:hAnsi="Arial"/>
          <w:sz w:val="15"/>
          <w:szCs w:val="15"/>
          <w:i w:val="1"/>
          <w:iCs w:val="1"/>
          <w:color w:val="auto"/>
        </w:rPr>
        <w:t>Intangibles - Goodwill and Other - Internal-Use Software</w:t>
      </w:r>
      <w:r>
        <w:rPr>
          <w:rFonts w:ascii="Arial" w:cs="Arial" w:eastAsia="Arial" w:hAnsi="Arial"/>
          <w:sz w:val="15"/>
          <w:szCs w:val="15"/>
          <w:color w:val="auto"/>
        </w:rPr>
        <w:t>. This ASU removes all references to prescriptive and sequential software development stages throughout Subtopic 350-40. This will require an entity to change how it starts capitalizing software costs, along with updating how entities evaluate the probable-to-complete recognition threshold. For all entities, the ASU is effective for annual reporting periods beginning after December 15, 2027, with early adoption permitted. The amendments of this ASU can be applied using any of the following three approaches: prospective transition approach; modified transition approach that is based on the status of the project and whether software costs were capitalized before the date of adoption; and retrospective transition approach. We are currently evaluating the impact that this guidance will have, and expect to adopt this ASU for the year ending December 31, 2028.</w:t>
      </w:r>
    </w:p>
    <w:p>
      <w:pPr>
        <w:spacing w:after="0" w:line="117" w:lineRule="exact"/>
        <w:rPr>
          <w:sz w:val="20"/>
          <w:szCs w:val="20"/>
          <w:color w:val="auto"/>
        </w:rPr>
      </w:pPr>
    </w:p>
    <w:p>
      <w:pPr>
        <w:ind w:firstLine="551"/>
        <w:spacing w:after="0" w:line="263" w:lineRule="auto"/>
        <w:rPr>
          <w:sz w:val="20"/>
          <w:szCs w:val="20"/>
          <w:color w:val="auto"/>
        </w:rPr>
      </w:pPr>
      <w:r>
        <w:rPr>
          <w:rFonts w:ascii="Arial" w:cs="Arial" w:eastAsia="Arial" w:hAnsi="Arial"/>
          <w:sz w:val="15"/>
          <w:szCs w:val="15"/>
          <w:color w:val="auto"/>
        </w:rPr>
        <w:t xml:space="preserve">In December 2025, the FASB issued ASU No. 2025-11, </w:t>
      </w:r>
      <w:r>
        <w:rPr>
          <w:rFonts w:ascii="Arial" w:cs="Arial" w:eastAsia="Arial" w:hAnsi="Arial"/>
          <w:sz w:val="15"/>
          <w:szCs w:val="15"/>
          <w:i w:val="1"/>
          <w:iCs w:val="1"/>
          <w:color w:val="auto"/>
        </w:rPr>
        <w:t>Interim Reporting (Topic 270) Narrow-Scope Improvements</w:t>
      </w:r>
      <w:r>
        <w:rPr>
          <w:rFonts w:ascii="Arial" w:cs="Arial" w:eastAsia="Arial" w:hAnsi="Arial"/>
          <w:sz w:val="15"/>
          <w:szCs w:val="15"/>
          <w:color w:val="auto"/>
        </w:rPr>
        <w:t>. This ASU clarifies interim disclosure requirements and the applicability of Topic 270. The amendment's objective is to provide clarity on the current interim reporting requirements. The ASU also includes a disclosure principle that requires entities to disclose events since the end of the last annual reporting period that have a material impact on the entity. The amendments of this ASU are required to be adopted for interim periods within annual reporting periods beginning after December 15, 2027. Early adoption is permitted. The amendments of this ASU can be applied either prospectively or retrospectively to any or all prior periods presented in the financial statements. We are currently evaluating the impact that this guidance will have.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Condensed Consolidated Balance Sheet and Statement of Operations and Comprehensive Loss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Prepaid Expenses and Other Current Assets</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25"/>
        </w:trPr>
        <w:tc>
          <w:tcPr>
            <w:tcW w:w="280" w:type="dxa"/>
            <w:vAlign w:val="bottom"/>
          </w:tcPr>
          <w:p>
            <w:pPr>
              <w:spacing w:after="0"/>
              <w:rPr>
                <w:sz w:val="24"/>
                <w:szCs w:val="24"/>
                <w:color w:val="auto"/>
              </w:rPr>
            </w:pPr>
          </w:p>
        </w:tc>
        <w:tc>
          <w:tcPr>
            <w:tcW w:w="6500" w:type="dxa"/>
            <w:vAlign w:val="bottom"/>
          </w:tcPr>
          <w:p>
            <w:pPr>
              <w:ind w:left="260"/>
              <w:spacing w:after="0"/>
              <w:rPr>
                <w:sz w:val="20"/>
                <w:szCs w:val="20"/>
                <w:color w:val="auto"/>
              </w:rPr>
            </w:pPr>
            <w:r>
              <w:rPr>
                <w:rFonts w:ascii="Arial" w:cs="Arial" w:eastAsia="Arial" w:hAnsi="Arial"/>
                <w:sz w:val="15"/>
                <w:szCs w:val="15"/>
                <w:color w:val="auto"/>
              </w:rPr>
              <w:t>Prepaid expenses and other current assets consist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As of March 31, 2026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As of December 31, 2025</w:t>
            </w:r>
          </w:p>
        </w:tc>
      </w:tr>
      <w:tr>
        <w:trPr>
          <w:trHeight w:val="256"/>
        </w:trPr>
        <w:tc>
          <w:tcPr>
            <w:tcW w:w="28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80" w:type="dxa"/>
            <w:vAlign w:val="bottom"/>
            <w:gridSpan w:val="4"/>
          </w:tcPr>
          <w:p>
            <w:pPr>
              <w:jc w:val="right"/>
              <w:ind w:right="1143"/>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19,623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19,586</w:t>
            </w:r>
          </w:p>
        </w:tc>
      </w:tr>
      <w:tr>
        <w:trPr>
          <w:trHeight w:val="209"/>
        </w:trPr>
        <w:tc>
          <w:tcPr>
            <w:tcW w:w="2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5"/>
                <w:szCs w:val="15"/>
                <w:color w:val="auto"/>
              </w:rPr>
              <w:t>Other current assets</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4,289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2,355</w:t>
            </w:r>
          </w:p>
        </w:tc>
      </w:tr>
      <w:tr>
        <w:trPr>
          <w:trHeight w:val="21"/>
        </w:trPr>
        <w:tc>
          <w:tcPr>
            <w:tcW w:w="280" w:type="dxa"/>
            <w:vAlign w:val="bottom"/>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prepaid expenses and other current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23,912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21,941</w:t>
            </w:r>
          </w:p>
        </w:tc>
      </w:tr>
      <w:tr>
        <w:trPr>
          <w:trHeight w:val="20"/>
        </w:trPr>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2"/>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b w:val="1"/>
                <w:bCs w:val="1"/>
                <w:color w:val="0000FF"/>
                <w:w w:val="99"/>
              </w:rPr>
              <w:t>Table of Contents</w:t>
            </w:r>
          </w:p>
        </w:tc>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713"/>
        </w:trPr>
        <w:tc>
          <w:tcPr>
            <w:tcW w:w="67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Property and Equipment, Net</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25"/>
        </w:trPr>
        <w:tc>
          <w:tcPr>
            <w:tcW w:w="280" w:type="dxa"/>
            <w:vAlign w:val="bottom"/>
          </w:tcPr>
          <w:p>
            <w:pPr>
              <w:spacing w:after="0"/>
              <w:rPr>
                <w:sz w:val="24"/>
                <w:szCs w:val="24"/>
                <w:color w:val="auto"/>
              </w:rPr>
            </w:pPr>
          </w:p>
        </w:tc>
        <w:tc>
          <w:tcPr>
            <w:tcW w:w="6500" w:type="dxa"/>
            <w:vAlign w:val="bottom"/>
            <w:gridSpan w:val="2"/>
          </w:tcPr>
          <w:p>
            <w:pPr>
              <w:ind w:left="260"/>
              <w:spacing w:after="0"/>
              <w:rPr>
                <w:sz w:val="20"/>
                <w:szCs w:val="20"/>
                <w:color w:val="auto"/>
              </w:rPr>
            </w:pPr>
            <w:r>
              <w:rPr>
                <w:rFonts w:ascii="Arial" w:cs="Arial" w:eastAsia="Arial" w:hAnsi="Arial"/>
                <w:sz w:val="15"/>
                <w:szCs w:val="15"/>
                <w:color w:val="auto"/>
              </w:rPr>
              <w:t>Property and equipment, net consist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As of March 31, 2026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As of December 31, 2025</w:t>
            </w:r>
          </w:p>
        </w:tc>
      </w:tr>
      <w:tr>
        <w:trPr>
          <w:trHeight w:val="256"/>
        </w:trPr>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80" w:type="dxa"/>
            <w:vAlign w:val="bottom"/>
            <w:gridSpan w:val="4"/>
          </w:tcPr>
          <w:p>
            <w:pPr>
              <w:jc w:val="right"/>
              <w:ind w:right="1143"/>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Computer equipment and software</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80,570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76,430</w:t>
            </w:r>
          </w:p>
        </w:tc>
      </w:tr>
      <w:tr>
        <w:trPr>
          <w:trHeight w:val="209"/>
        </w:trPr>
        <w:tc>
          <w:tcPr>
            <w:tcW w:w="28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5"/>
                <w:szCs w:val="15"/>
                <w:color w:val="auto"/>
              </w:rPr>
              <w:t>Capitalized software</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29,483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27,898</w:t>
            </w:r>
          </w:p>
        </w:tc>
      </w:tr>
      <w:tr>
        <w:trPr>
          <w:trHeight w:val="21"/>
        </w:trPr>
        <w:tc>
          <w:tcPr>
            <w:tcW w:w="28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Laboratory equipment</w:t>
            </w:r>
          </w:p>
        </w:tc>
        <w:tc>
          <w:tcPr>
            <w:tcW w:w="2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124,312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106,227</w:t>
            </w:r>
          </w:p>
        </w:tc>
      </w:tr>
      <w:tr>
        <w:trPr>
          <w:trHeight w:val="209"/>
        </w:trPr>
        <w:tc>
          <w:tcPr>
            <w:tcW w:w="28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5"/>
                <w:szCs w:val="15"/>
                <w:color w:val="auto"/>
              </w:rPr>
              <w:t>Furniture and fixtures</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8,410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8,368</w:t>
            </w:r>
          </w:p>
        </w:tc>
      </w:tr>
      <w:tr>
        <w:trPr>
          <w:trHeight w:val="21"/>
        </w:trPr>
        <w:tc>
          <w:tcPr>
            <w:tcW w:w="28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Leasehold improvements/Leased buildings</w:t>
            </w:r>
          </w:p>
        </w:tc>
        <w:tc>
          <w:tcPr>
            <w:tcW w:w="2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64,215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63,812</w:t>
            </w:r>
          </w:p>
        </w:tc>
      </w:tr>
      <w:tr>
        <w:trPr>
          <w:trHeight w:val="209"/>
        </w:trPr>
        <w:tc>
          <w:tcPr>
            <w:tcW w:w="28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5"/>
                <w:szCs w:val="15"/>
                <w:color w:val="auto"/>
              </w:rPr>
              <w:t>Aircraft and leased equipment</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21,415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21,415</w:t>
            </w:r>
          </w:p>
        </w:tc>
      </w:tr>
      <w:tr>
        <w:trPr>
          <w:trHeight w:val="21"/>
        </w:trPr>
        <w:tc>
          <w:tcPr>
            <w:tcW w:w="280" w:type="dxa"/>
            <w:vAlign w:val="bottom"/>
          </w:tcPr>
          <w:p>
            <w:pPr>
              <w:spacing w:after="0" w:line="20" w:lineRule="exact"/>
              <w:rPr>
                <w:sz w:val="1"/>
                <w:szCs w:val="1"/>
                <w:color w:val="auto"/>
              </w:rPr>
            </w:pPr>
          </w:p>
        </w:tc>
        <w:tc>
          <w:tcPr>
            <w:tcW w:w="6500" w:type="dxa"/>
            <w:vAlign w:val="bottom"/>
            <w:tcBorders>
              <w:bottom w:val="single" w:sz="8" w:color="CCEEFF"/>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01"/>
        </w:trPr>
        <w:tc>
          <w:tcPr>
            <w:tcW w:w="280" w:type="dxa"/>
            <w:vAlign w:val="bottom"/>
          </w:tcPr>
          <w:p>
            <w:pPr>
              <w:spacing w:after="0"/>
              <w:rPr>
                <w:sz w:val="17"/>
                <w:szCs w:val="17"/>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property and equipment</w:t>
            </w:r>
          </w:p>
        </w:tc>
        <w:tc>
          <w:tcPr>
            <w:tcW w:w="2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328,405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304,150</w:t>
            </w:r>
          </w:p>
        </w:tc>
      </w:tr>
      <w:tr>
        <w:trPr>
          <w:trHeight w:val="209"/>
        </w:trPr>
        <w:tc>
          <w:tcPr>
            <w:tcW w:w="28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5"/>
                <w:szCs w:val="15"/>
                <w:color w:val="auto"/>
              </w:rPr>
              <w:t>Less: accumulated depreciation and amortization</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(245,736)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(240,980)</w:t>
            </w:r>
          </w:p>
        </w:tc>
      </w:tr>
      <w:tr>
        <w:trPr>
          <w:trHeight w:val="21"/>
        </w:trPr>
        <w:tc>
          <w:tcPr>
            <w:tcW w:w="280" w:type="dxa"/>
            <w:vAlign w:val="bottom"/>
          </w:tcPr>
          <w:p>
            <w:pPr>
              <w:spacing w:after="0" w:line="20" w:lineRule="exact"/>
              <w:rPr>
                <w:sz w:val="1"/>
                <w:szCs w:val="1"/>
                <w:color w:val="auto"/>
              </w:rPr>
            </w:pPr>
          </w:p>
        </w:tc>
        <w:tc>
          <w:tcPr>
            <w:tcW w:w="6500" w:type="dxa"/>
            <w:vAlign w:val="bottom"/>
            <w:tcBorders>
              <w:bottom w:val="single" w:sz="8" w:color="CCEEFF"/>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82,669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63,170</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Total depreciation and amortization expense was $5.1 million and $7.0 million for the three months ended March 31, 2026 and 2025,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Accrued Expenses and Other Current Liabilities</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80" w:type="dxa"/>
            <w:vAlign w:val="bottom"/>
          </w:tcPr>
          <w:p>
            <w:pPr>
              <w:spacing w:after="0"/>
              <w:rPr>
                <w:sz w:val="24"/>
                <w:szCs w:val="24"/>
                <w:color w:val="auto"/>
              </w:rPr>
            </w:pPr>
          </w:p>
        </w:tc>
        <w:tc>
          <w:tcPr>
            <w:tcW w:w="650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 consist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As of March 31, 2026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As of December 31, 2025</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80" w:type="dxa"/>
            <w:vAlign w:val="bottom"/>
            <w:gridSpan w:val="4"/>
          </w:tcPr>
          <w:p>
            <w:pPr>
              <w:jc w:val="right"/>
              <w:ind w:right="1143"/>
              <w:spacing w:after="0"/>
              <w:rPr>
                <w:sz w:val="20"/>
                <w:szCs w:val="20"/>
                <w:color w:val="auto"/>
              </w:rPr>
            </w:pPr>
            <w:r>
              <w:rPr>
                <w:rFonts w:ascii="Arial" w:cs="Arial" w:eastAsia="Arial" w:hAnsi="Arial"/>
                <w:sz w:val="15"/>
                <w:szCs w:val="15"/>
                <w:b w:val="1"/>
                <w:bCs w:val="1"/>
                <w:color w:val="auto"/>
              </w:rPr>
              <w:t>(amounts in thousands)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Trade accruals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8,495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6,887</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5"/>
                <w:szCs w:val="15"/>
                <w:color w:val="auto"/>
              </w:rPr>
              <w:t>Accrued payroll and employee medical</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15,394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11,104</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bonus</w:t>
            </w:r>
          </w:p>
        </w:tc>
        <w:tc>
          <w:tcPr>
            <w:tcW w:w="2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8,556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31,487</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5"/>
                <w:szCs w:val="15"/>
                <w:color w:val="auto"/>
              </w:rPr>
              <w:t>Current portion of early exercise stock option liability</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Contract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24,969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24,492</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5"/>
                <w:szCs w:val="15"/>
                <w:color w:val="auto"/>
              </w:rPr>
              <w:t>Current portion of operating lease liabilities</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5,836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6,359</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accrued expenses</w:t>
            </w:r>
          </w:p>
        </w:tc>
        <w:tc>
          <w:tcPr>
            <w:tcW w:w="2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10,344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7,114</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5"/>
                <w:szCs w:val="15"/>
                <w:color w:val="auto"/>
              </w:rPr>
              <w:t>Total accrued expenses and other current liabilities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73,921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87,770</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Other Long-Term Liabilities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80" w:type="dxa"/>
            <w:vAlign w:val="bottom"/>
          </w:tcPr>
          <w:p>
            <w:pPr>
              <w:spacing w:after="0"/>
              <w:rPr>
                <w:sz w:val="24"/>
                <w:szCs w:val="24"/>
                <w:color w:val="auto"/>
              </w:rPr>
            </w:pPr>
          </w:p>
        </w:tc>
        <w:tc>
          <w:tcPr>
            <w:tcW w:w="6500" w:type="dxa"/>
            <w:vAlign w:val="bottom"/>
          </w:tcPr>
          <w:p>
            <w:pPr>
              <w:ind w:left="260"/>
              <w:spacing w:after="0"/>
              <w:rPr>
                <w:sz w:val="20"/>
                <w:szCs w:val="20"/>
                <w:color w:val="auto"/>
              </w:rPr>
            </w:pPr>
            <w:r>
              <w:rPr>
                <w:rFonts w:ascii="Arial" w:cs="Arial" w:eastAsia="Arial" w:hAnsi="Arial"/>
                <w:sz w:val="15"/>
                <w:szCs w:val="15"/>
                <w:color w:val="auto"/>
              </w:rPr>
              <w:t>Other long-term liabilities consist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As of March 31, 2026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As of December 31, 2025</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80" w:type="dxa"/>
            <w:vAlign w:val="bottom"/>
            <w:gridSpan w:val="4"/>
          </w:tcPr>
          <w:p>
            <w:pPr>
              <w:jc w:val="right"/>
              <w:ind w:right="1143"/>
              <w:spacing w:after="0"/>
              <w:rPr>
                <w:sz w:val="20"/>
                <w:szCs w:val="20"/>
                <w:color w:val="auto"/>
              </w:rPr>
            </w:pPr>
            <w:r>
              <w:rPr>
                <w:rFonts w:ascii="Arial" w:cs="Arial" w:eastAsia="Arial" w:hAnsi="Arial"/>
                <w:sz w:val="15"/>
                <w:szCs w:val="15"/>
                <w:b w:val="1"/>
                <w:bCs w:val="1"/>
                <w:color w:val="auto"/>
              </w:rPr>
              <w:t>(amounts in thousands)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operating lease liabilities, net of current portion</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43,547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42,335</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5"/>
                <w:szCs w:val="15"/>
                <w:color w:val="auto"/>
              </w:rPr>
              <w:t>Long-term portion of early exercise stock option liability</w:t>
            </w:r>
          </w:p>
        </w:tc>
        <w:tc>
          <w:tcPr>
            <w:tcW w:w="200" w:type="dxa"/>
            <w:vAlign w:val="bottom"/>
          </w:tcPr>
          <w:p>
            <w:pPr>
              <w:spacing w:after="0"/>
              <w:rPr>
                <w:sz w:val="18"/>
                <w:szCs w:val="18"/>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other long-term liabilities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43,600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42,388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Income Taxes</w:t>
      </w:r>
    </w:p>
    <w:p>
      <w:pPr>
        <w:spacing w:after="0" w:line="174" w:lineRule="exact"/>
        <w:rPr>
          <w:sz w:val="20"/>
          <w:szCs w:val="20"/>
          <w:color w:val="auto"/>
        </w:rPr>
      </w:pPr>
    </w:p>
    <w:p>
      <w:pPr>
        <w:jc w:val="both"/>
        <w:ind w:firstLine="551"/>
        <w:spacing w:after="0" w:line="275" w:lineRule="auto"/>
        <w:rPr>
          <w:sz w:val="20"/>
          <w:szCs w:val="20"/>
          <w:color w:val="auto"/>
        </w:rPr>
      </w:pPr>
      <w:r>
        <w:rPr>
          <w:rFonts w:ascii="Arial" w:cs="Arial" w:eastAsia="Arial" w:hAnsi="Arial"/>
          <w:sz w:val="15"/>
          <w:szCs w:val="15"/>
          <w:color w:val="auto"/>
        </w:rPr>
        <w:t>The Company is subject to tax liabilities imposed by multiple jurisdictions. The Company determines our best estimate of the annual effective tax rate at each interim period using expected annual pre-tax earnings, statutory tax rates, and available tax planning opportunities. Certain significant or unusual items are separately recognized in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400"/>
        <w:spacing w:after="0" w:line="294" w:lineRule="auto"/>
        <w:rPr>
          <w:sz w:val="20"/>
          <w:szCs w:val="20"/>
          <w:color w:val="auto"/>
        </w:rPr>
      </w:pPr>
      <w:r>
        <w:rPr>
          <w:rFonts w:ascii="Arial" w:cs="Arial" w:eastAsia="Arial" w:hAnsi="Arial"/>
          <w:sz w:val="15"/>
          <w:szCs w:val="15"/>
          <w:color w:val="auto"/>
        </w:rPr>
        <w:t>quarter in which they occur, which can cause variability in the effective tax rate from quarter to quarter. The Company recognizes interest and penalties related to uncertain tax positions, if any, as an income tax expense.</w:t>
      </w:r>
    </w:p>
    <w:p>
      <w:pPr>
        <w:spacing w:after="0" w:line="94" w:lineRule="exact"/>
        <w:rPr>
          <w:sz w:val="20"/>
          <w:szCs w:val="20"/>
          <w:color w:val="auto"/>
        </w:rPr>
      </w:pPr>
    </w:p>
    <w:p>
      <w:pPr>
        <w:ind w:right="340" w:firstLine="551"/>
        <w:spacing w:after="0" w:line="294" w:lineRule="auto"/>
        <w:rPr>
          <w:sz w:val="20"/>
          <w:szCs w:val="20"/>
          <w:color w:val="auto"/>
        </w:rPr>
      </w:pPr>
      <w:r>
        <w:rPr>
          <w:rFonts w:ascii="Arial" w:cs="Arial" w:eastAsia="Arial" w:hAnsi="Arial"/>
          <w:sz w:val="15"/>
          <w:szCs w:val="15"/>
          <w:color w:val="auto"/>
        </w:rPr>
        <w:t>The Company is subject to taxation in the United States and various states and foreign jurisdictions. Due to the net operating loss carryforwards, all years remain open for income tax examination by the taxing authorities.</w:t>
      </w:r>
    </w:p>
    <w:p>
      <w:pPr>
        <w:spacing w:after="0" w:line="106" w:lineRule="exact"/>
        <w:rPr>
          <w:sz w:val="20"/>
          <w:szCs w:val="20"/>
          <w:color w:val="auto"/>
        </w:rPr>
      </w:pPr>
    </w:p>
    <w:p>
      <w:pPr>
        <w:jc w:val="both"/>
        <w:ind w:right="540" w:firstLine="551"/>
        <w:spacing w:after="0" w:line="275" w:lineRule="auto"/>
        <w:rPr>
          <w:sz w:val="20"/>
          <w:szCs w:val="20"/>
          <w:color w:val="auto"/>
        </w:rPr>
      </w:pPr>
      <w:r>
        <w:rPr>
          <w:rFonts w:ascii="Arial" w:cs="Arial" w:eastAsia="Arial" w:hAnsi="Arial"/>
          <w:sz w:val="15"/>
          <w:szCs w:val="15"/>
          <w:color w:val="auto"/>
        </w:rPr>
        <w:t>On July 4, 2025, H.R. 1, known as the One Big Beautiful Bill Act (the “OBBBA”), was signed into law. The OBBBA includes a broad range of tax reform provisions, including extending and modifying certain key provisions from the 2017 Tax Cuts &amp; Jobs Act (both domestic and international). The Company is still evaluating the potential impacts of the OBBBA on the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Shareholders’ Equity and Equity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Preferred Stock</w:t>
      </w:r>
    </w:p>
    <w:p>
      <w:pPr>
        <w:spacing w:after="0" w:line="172" w:lineRule="exact"/>
        <w:rPr>
          <w:sz w:val="20"/>
          <w:szCs w:val="20"/>
          <w:color w:val="auto"/>
        </w:rPr>
      </w:pPr>
    </w:p>
    <w:p>
      <w:pPr>
        <w:ind w:right="100" w:firstLine="551"/>
        <w:spacing w:after="0" w:line="294" w:lineRule="auto"/>
        <w:rPr>
          <w:sz w:val="20"/>
          <w:szCs w:val="20"/>
          <w:color w:val="auto"/>
        </w:rPr>
      </w:pPr>
      <w:r>
        <w:rPr>
          <w:rFonts w:ascii="Arial" w:cs="Arial" w:eastAsia="Arial" w:hAnsi="Arial"/>
          <w:sz w:val="15"/>
          <w:szCs w:val="15"/>
          <w:color w:val="auto"/>
        </w:rPr>
        <w:t>The Company is authorized to issue 100,000,000 shares of preferred stock with a par value of $0.001 per share. As of March 31, 2026, there were no shares of preferred stock issued and outstanding.</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w:t>
      </w:r>
    </w:p>
    <w:p>
      <w:pPr>
        <w:spacing w:after="0" w:line="161"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As of March 31, 2026 and December 31, 2025, 2,800,000,000 shares of common stock with a $0.001 par value were authorized. There were 282,650,723 and 282,526,097 shares outstanding as of March 31, 2026 and December 31, 2025, respectively.</w:t>
      </w:r>
    </w:p>
    <w:p>
      <w:pPr>
        <w:spacing w:after="0" w:line="106" w:lineRule="exact"/>
        <w:rPr>
          <w:sz w:val="20"/>
          <w:szCs w:val="20"/>
          <w:color w:val="auto"/>
        </w:rPr>
      </w:pPr>
    </w:p>
    <w:p>
      <w:pPr>
        <w:ind w:right="340" w:firstLine="551"/>
        <w:spacing w:after="0" w:line="275" w:lineRule="auto"/>
        <w:rPr>
          <w:sz w:val="20"/>
          <w:szCs w:val="20"/>
          <w:color w:val="auto"/>
        </w:rPr>
      </w:pPr>
      <w:r>
        <w:rPr>
          <w:rFonts w:ascii="Arial" w:cs="Arial" w:eastAsia="Arial" w:hAnsi="Arial"/>
          <w:sz w:val="15"/>
          <w:szCs w:val="15"/>
          <w:color w:val="auto"/>
        </w:rPr>
        <w:t>Each share of common stock entitles the holder to one vote on all matters submitted to a vote of the Company's shareholders. Common shareholders are entitled to receive dividends if and when declared by the Company's board of directors, subject to the preferential dividend rights of any preferred stock then outstanding and compliance with our contractual obligations. No dividends have been declared or paid by the Company since its inception.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2020 Incentive Plan</w:t>
      </w:r>
    </w:p>
    <w:p>
      <w:pPr>
        <w:spacing w:after="0" w:line="161" w:lineRule="exact"/>
        <w:rPr>
          <w:sz w:val="20"/>
          <w:szCs w:val="20"/>
          <w:color w:val="auto"/>
        </w:rPr>
      </w:pPr>
    </w:p>
    <w:p>
      <w:pPr>
        <w:ind w:right="140" w:firstLine="551"/>
        <w:spacing w:after="0" w:line="263" w:lineRule="auto"/>
        <w:rPr>
          <w:sz w:val="20"/>
          <w:szCs w:val="20"/>
          <w:color w:val="auto"/>
        </w:rPr>
      </w:pPr>
      <w:r>
        <w:rPr>
          <w:rFonts w:ascii="Arial" w:cs="Arial" w:eastAsia="Arial" w:hAnsi="Arial"/>
          <w:sz w:val="15"/>
          <w:szCs w:val="15"/>
          <w:color w:val="auto"/>
        </w:rPr>
        <w:t>Prior to the initial public offering (“IPO”), the 2020 Incentive Plan (the “2020 Plan”) provided for the Company’s grant of awards of options, restricted awards, performance awards or share appreciation rights to employees, consultants, and directors of the Company. A total of 20,400,342 shares of common stock are reserved for issuance upon the exercise of all awards granted or available to be granted under the 2020 Plan as of March 31, 2026. In June 2025, in connection with the IPO and the adoption of the 2025 Incentive Plan (as defined below), the Company will not make any additional grants under the 2020 Plan. Any outstanding awards granted under the 2020 Plan remain subject to the terms of the 2020 Plan, and any shares underlying outstanding awards under the 2020 Plan that expire or are repurchased, forfeited, canceled, or withheld will become available for issuance under the 2025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2025 Incentive Plan</w:t>
      </w:r>
    </w:p>
    <w:p>
      <w:pPr>
        <w:spacing w:after="0" w:line="161" w:lineRule="exact"/>
        <w:rPr>
          <w:sz w:val="20"/>
          <w:szCs w:val="20"/>
          <w:color w:val="auto"/>
        </w:rPr>
      </w:pPr>
    </w:p>
    <w:p>
      <w:pPr>
        <w:ind w:right="20" w:firstLine="551"/>
        <w:spacing w:after="0" w:line="265" w:lineRule="auto"/>
        <w:rPr>
          <w:sz w:val="20"/>
          <w:szCs w:val="20"/>
          <w:color w:val="auto"/>
        </w:rPr>
      </w:pPr>
      <w:r>
        <w:rPr>
          <w:rFonts w:ascii="Arial" w:cs="Arial" w:eastAsia="Arial" w:hAnsi="Arial"/>
          <w:sz w:val="15"/>
          <w:szCs w:val="15"/>
          <w:color w:val="auto"/>
        </w:rPr>
        <w:t>Effective May 23, 2025, the Company’s Board of Directors adopted, and the shareholders approved, the 2025 Incentive Plan (the “2025 Plan”). The 2025 Plan provides for the grant of incentive stock options (“ISOs”), nonstatutory stock options (“NSOs”), share appreciation rights, restricted awards, performance awards, and other awards. As of March 31, 2026, a total of 9,030,051 shares of common stock were reserved for issuance in settlement of awards granted under the 2025 Plan. The material terms of the 2025 Plan are substantially similar to the 2020 Plan, except with respect to the number of authorized shares, which initially equaled 15,125,002 shares, plus the number of shares that would return to the share reserve of the 2020 Plan following the pricing of the Company's IPO.</w:t>
      </w:r>
    </w:p>
    <w:p>
      <w:pPr>
        <w:spacing w:after="0" w:line="116" w:lineRule="exact"/>
        <w:rPr>
          <w:sz w:val="20"/>
          <w:szCs w:val="20"/>
          <w:color w:val="auto"/>
        </w:rPr>
      </w:pPr>
    </w:p>
    <w:p>
      <w:pPr>
        <w:ind w:right="100" w:firstLine="551"/>
        <w:spacing w:after="0" w:line="268" w:lineRule="auto"/>
        <w:rPr>
          <w:sz w:val="20"/>
          <w:szCs w:val="20"/>
          <w:color w:val="auto"/>
        </w:rPr>
      </w:pPr>
      <w:r>
        <w:rPr>
          <w:rFonts w:ascii="Arial" w:cs="Arial" w:eastAsia="Arial" w:hAnsi="Arial"/>
          <w:sz w:val="15"/>
          <w:szCs w:val="15"/>
          <w:color w:val="auto"/>
        </w:rPr>
        <w:t>The 2025 Plan’s share reserve will increase on January 1 of each calendar year during the term of the 2025 Plan, beginning in 2026, by a number of shares as determined by the administrator of the 2025 Plan and in consultation with the Company, provided, that such increase (if any) will be no greater than the amount by which (y) 4% of the aggregate number of outstanding shares of our common stock as of the last day of the immediately preceding fiscal year exceeds (z) the aggregate number of shares remaining available for grant under the 2025 Plan on the last day of the immediately preceding fiscal year.</w:t>
      </w:r>
    </w:p>
    <w:p>
      <w:pPr>
        <w:spacing w:after="0" w:line="125" w:lineRule="exact"/>
        <w:rPr>
          <w:sz w:val="20"/>
          <w:szCs w:val="20"/>
          <w:color w:val="auto"/>
        </w:rPr>
      </w:pPr>
    </w:p>
    <w:p>
      <w:pPr>
        <w:ind w:right="240" w:firstLine="551"/>
        <w:spacing w:after="0" w:line="275" w:lineRule="auto"/>
        <w:rPr>
          <w:sz w:val="20"/>
          <w:szCs w:val="20"/>
          <w:color w:val="auto"/>
        </w:rPr>
      </w:pPr>
      <w:r>
        <w:rPr>
          <w:rFonts w:ascii="Arial" w:cs="Arial" w:eastAsia="Arial" w:hAnsi="Arial"/>
          <w:sz w:val="15"/>
          <w:szCs w:val="15"/>
          <w:color w:val="auto"/>
        </w:rPr>
        <w:t>To the extent permitted by applicable laws or any exchange rule, any shares of common stock issued under the 2025 Plan that are issued (a) in connection with the Company's acquisition of an unaffiliated business entity, (b) to the employees of such entity, and (c) in substitution of equity incentive awards previously issued to such employees by such entity shall not reduce the number of shares of common stock available for issuance under the 2025 Plan.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Stock Purchase Plan</w:t>
      </w:r>
    </w:p>
    <w:p>
      <w:pPr>
        <w:spacing w:after="0" w:line="161" w:lineRule="exact"/>
        <w:rPr>
          <w:sz w:val="20"/>
          <w:szCs w:val="20"/>
          <w:color w:val="auto"/>
        </w:rPr>
      </w:pPr>
    </w:p>
    <w:p>
      <w:pPr>
        <w:ind w:right="280" w:firstLine="551"/>
        <w:spacing w:after="0" w:line="268" w:lineRule="auto"/>
        <w:rPr>
          <w:sz w:val="20"/>
          <w:szCs w:val="20"/>
          <w:color w:val="auto"/>
        </w:rPr>
      </w:pPr>
      <w:r>
        <w:rPr>
          <w:rFonts w:ascii="Arial" w:cs="Arial" w:eastAsia="Arial" w:hAnsi="Arial"/>
          <w:sz w:val="15"/>
          <w:szCs w:val="15"/>
          <w:color w:val="auto"/>
        </w:rPr>
        <w:t>The Company’s Board of Directors has adopted, and the shareholders approved, the 2025 Employee Stock Purchase Plan (the “ESPP”), which became effective in connection with the IPO. The ESPP enables eligible employees to purchase shares of the Company’s common stock with payroll deductions. A total of 2,571,250 shares of the Company’s common stock were initially reserved for issuance under the ESPP. As of March 31, 2026, 2,825,260 shares under the ESPP were available to purchase.</w:t>
      </w:r>
    </w:p>
    <w:p>
      <w:pPr>
        <w:spacing w:after="0" w:line="125" w:lineRule="exact"/>
        <w:rPr>
          <w:sz w:val="20"/>
          <w:szCs w:val="20"/>
          <w:color w:val="auto"/>
        </w:rPr>
      </w:pPr>
    </w:p>
    <w:p>
      <w:pPr>
        <w:ind w:right="160" w:firstLine="551"/>
        <w:spacing w:after="0" w:line="275" w:lineRule="auto"/>
        <w:rPr>
          <w:sz w:val="20"/>
          <w:szCs w:val="20"/>
          <w:color w:val="auto"/>
        </w:rPr>
      </w:pPr>
      <w:r>
        <w:rPr>
          <w:rFonts w:ascii="Arial" w:cs="Arial" w:eastAsia="Arial" w:hAnsi="Arial"/>
          <w:sz w:val="15"/>
          <w:szCs w:val="15"/>
          <w:color w:val="auto"/>
        </w:rPr>
        <w:t>The number of shares reserved for issuance and sale under the ESPP will increase automatically on January 1 of each calendar year during the term of this Plan beginning in 2026, by a number of Shares equal to 1% of the Common Stock outstanding on the last day of the immediately preceding fiscal year, unless the ESPP administrator should decide to increase the number of shares available under the ESPP by a lesser amount.</w:t>
      </w:r>
    </w:p>
    <w:p>
      <w:pPr>
        <w:spacing w:after="0" w:line="108" w:lineRule="exact"/>
        <w:rPr>
          <w:sz w:val="20"/>
          <w:szCs w:val="20"/>
          <w:color w:val="auto"/>
        </w:rPr>
      </w:pPr>
    </w:p>
    <w:p>
      <w:pPr>
        <w:ind w:right="20" w:firstLine="551"/>
        <w:spacing w:after="0" w:line="275" w:lineRule="auto"/>
        <w:rPr>
          <w:sz w:val="20"/>
          <w:szCs w:val="20"/>
          <w:color w:val="auto"/>
        </w:rPr>
      </w:pPr>
      <w:r>
        <w:rPr>
          <w:rFonts w:ascii="Arial" w:cs="Arial" w:eastAsia="Arial" w:hAnsi="Arial"/>
          <w:sz w:val="15"/>
          <w:szCs w:val="15"/>
          <w:color w:val="auto"/>
        </w:rPr>
        <w:t>The purchase price designated by the ESPP administrator will be no less than the lower of 85% of the closing trading price per share of our common stock on the first trading date of an offering period in which a participant is enrolled or 85% of the closing trading price per share on the purchase date, which will occur on the last trading day of each purchase period within an offering period.</w:t>
      </w:r>
    </w:p>
    <w:p>
      <w:pPr>
        <w:spacing w:after="0" w:line="108" w:lineRule="exact"/>
        <w:rPr>
          <w:sz w:val="20"/>
          <w:szCs w:val="20"/>
          <w:color w:val="auto"/>
        </w:rPr>
      </w:pPr>
    </w:p>
    <w:p>
      <w:pPr>
        <w:ind w:right="200" w:firstLine="551"/>
        <w:spacing w:after="0" w:line="294" w:lineRule="auto"/>
        <w:rPr>
          <w:sz w:val="20"/>
          <w:szCs w:val="20"/>
          <w:color w:val="auto"/>
        </w:rPr>
      </w:pPr>
      <w:r>
        <w:rPr>
          <w:rFonts w:ascii="Arial" w:cs="Arial" w:eastAsia="Arial" w:hAnsi="Arial"/>
          <w:sz w:val="15"/>
          <w:szCs w:val="15"/>
          <w:color w:val="auto"/>
        </w:rPr>
        <w:t>Unless otherwise determined by the compensation committee, the ESPP will provide for separate six-month offering periods beginning on December 1 and June 1 of each year.</w:t>
      </w:r>
    </w:p>
    <w:p>
      <w:pPr>
        <w:spacing w:after="0" w:line="106" w:lineRule="exact"/>
        <w:rPr>
          <w:sz w:val="20"/>
          <w:szCs w:val="20"/>
          <w:color w:val="auto"/>
        </w:rPr>
      </w:pPr>
    </w:p>
    <w:p>
      <w:pPr>
        <w:ind w:right="80" w:firstLine="551"/>
        <w:spacing w:after="0" w:line="268" w:lineRule="auto"/>
        <w:rPr>
          <w:sz w:val="20"/>
          <w:szCs w:val="20"/>
          <w:color w:val="auto"/>
        </w:rPr>
      </w:pPr>
      <w:r>
        <w:rPr>
          <w:rFonts w:ascii="Arial" w:cs="Arial" w:eastAsia="Arial" w:hAnsi="Arial"/>
          <w:sz w:val="15"/>
          <w:szCs w:val="15"/>
          <w:color w:val="auto"/>
        </w:rPr>
        <w:t>The Company began recognizing stock-based compensation expense related to the ESPP upon commencement of the initial offering period on December 1, 2025. Compensation expense is recognized on a straight-line basis over the six-month offering period, based on the fair value of the purchase rights granted to participants as determined under ASC 718. The impact of the ESPP on the Company’s condensed consolidated financial statements for the three months ended March 31, 2026 was not material. For the three months ended March 31, 2026, no shares were issued under the ESPP.</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Option Activity</w:t>
      </w:r>
    </w:p>
    <w:p>
      <w:pPr>
        <w:spacing w:after="0" w:line="161" w:lineRule="exact"/>
        <w:rPr>
          <w:sz w:val="20"/>
          <w:szCs w:val="20"/>
          <w:color w:val="auto"/>
        </w:rPr>
      </w:pPr>
    </w:p>
    <w:p>
      <w:pPr>
        <w:ind w:firstLine="551"/>
        <w:spacing w:after="0" w:line="261" w:lineRule="auto"/>
        <w:rPr>
          <w:sz w:val="20"/>
          <w:szCs w:val="20"/>
          <w:color w:val="auto"/>
        </w:rPr>
      </w:pPr>
      <w:r>
        <w:rPr>
          <w:rFonts w:ascii="Arial" w:cs="Arial" w:eastAsia="Arial" w:hAnsi="Arial"/>
          <w:sz w:val="15"/>
          <w:szCs w:val="15"/>
          <w:color w:val="auto"/>
        </w:rPr>
        <w:t>Under the 2020 Plan, the Company has granted incentive stock options and non-qualified stock options to its employees and other service providers (non-employees). Most of the Company’s stock options vest incrementally over five years, subject to the grantee's continuous employment with the Company (“time-vesting options”). The Company recognizes compensation cost on a straight-line basis over the requisite service period for its time-vesting options. In addition to its time-vesting options, the Company has also granted stock options to certain non-employees for which vesting is tied to the grantee’s performance (“performance-vesting options”). The Company evaluates whether it is probable that the performance metric will be achieved for its performance-vesting options and recognizes compensation cost on a straight-line basis over the implied service period if achievement of the performance metric is deemed probable. No option shall be exercisable after the expiration of 10 years from the date it was granted. The exercise price of each option shall be not less than 100.0% of the fair market value of the common stock subject to the option on the date the option is granted. The Company has not granted stock options under the 2025 Plan as of March 31,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summarizes the Company's stock option activity during the three months ended March 31, 2026:</w:t>
      </w: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ind w:left="560"/>
              <w:spacing w:after="0"/>
              <w:rPr>
                <w:sz w:val="20"/>
                <w:szCs w:val="20"/>
                <w:color w:val="auto"/>
              </w:rPr>
            </w:pPr>
            <w:r>
              <w:rPr>
                <w:rFonts w:ascii="Arial" w:cs="Arial" w:eastAsia="Arial" w:hAnsi="Arial"/>
                <w:sz w:val="15"/>
                <w:szCs w:val="15"/>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5"/>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Weighted</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Weighted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Average</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Average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Exercise</w:t>
            </w:r>
          </w:p>
        </w:tc>
        <w:tc>
          <w:tcPr>
            <w:tcW w:w="16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Remaining</w:t>
            </w:r>
          </w:p>
        </w:tc>
        <w:tc>
          <w:tcPr>
            <w:tcW w:w="160" w:type="dxa"/>
            <w:vAlign w:val="bottom"/>
          </w:tcPr>
          <w:p>
            <w:pPr>
              <w:spacing w:after="0"/>
              <w:rPr>
                <w:sz w:val="19"/>
                <w:szCs w:val="19"/>
                <w:color w:val="auto"/>
              </w:rPr>
            </w:pPr>
          </w:p>
        </w:tc>
        <w:tc>
          <w:tcPr>
            <w:tcW w:w="1340" w:type="dxa"/>
            <w:vAlign w:val="bottom"/>
          </w:tcPr>
          <w:p>
            <w:pPr>
              <w:jc w:val="center"/>
              <w:ind w:right="83"/>
              <w:spacing w:after="0"/>
              <w:rPr>
                <w:sz w:val="20"/>
                <w:szCs w:val="20"/>
                <w:color w:val="auto"/>
              </w:rPr>
            </w:pPr>
            <w:r>
              <w:rPr>
                <w:rFonts w:ascii="Arial" w:cs="Arial" w:eastAsia="Arial" w:hAnsi="Arial"/>
                <w:sz w:val="15"/>
                <w:szCs w:val="15"/>
                <w:b w:val="1"/>
                <w:bCs w:val="1"/>
                <w:color w:val="auto"/>
                <w:w w:val="99"/>
              </w:rPr>
              <w:t>Aggregate</w:t>
            </w:r>
          </w:p>
        </w:tc>
      </w:tr>
      <w:tr>
        <w:trPr>
          <w:trHeight w:val="230"/>
        </w:trPr>
        <w:tc>
          <w:tcPr>
            <w:tcW w:w="4360" w:type="dxa"/>
            <w:vAlign w:val="bottom"/>
          </w:tcPr>
          <w:p>
            <w:pPr>
              <w:spacing w:after="0"/>
              <w:rPr>
                <w:sz w:val="19"/>
                <w:szCs w:val="19"/>
                <w:color w:val="auto"/>
              </w:rPr>
            </w:pPr>
          </w:p>
        </w:tc>
        <w:tc>
          <w:tcPr>
            <w:tcW w:w="1600" w:type="dxa"/>
            <w:vAlign w:val="bottom"/>
            <w:gridSpan w:val="2"/>
          </w:tcPr>
          <w:p>
            <w:pPr>
              <w:ind w:left="360"/>
              <w:spacing w:after="0"/>
              <w:rPr>
                <w:sz w:val="20"/>
                <w:szCs w:val="20"/>
                <w:color w:val="auto"/>
              </w:rPr>
            </w:pPr>
            <w:r>
              <w:rPr>
                <w:rFonts w:ascii="Arial" w:cs="Arial" w:eastAsia="Arial" w:hAnsi="Arial"/>
                <w:sz w:val="15"/>
                <w:szCs w:val="15"/>
                <w:b w:val="1"/>
                <w:bCs w:val="1"/>
                <w:color w:val="auto"/>
              </w:rPr>
              <w:t>Number of</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Price</w:t>
            </w: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Contract</w:t>
            </w:r>
          </w:p>
        </w:tc>
        <w:tc>
          <w:tcPr>
            <w:tcW w:w="160" w:type="dxa"/>
            <w:vAlign w:val="bottom"/>
          </w:tcPr>
          <w:p>
            <w:pPr>
              <w:spacing w:after="0"/>
              <w:rPr>
                <w:sz w:val="19"/>
                <w:szCs w:val="19"/>
                <w:color w:val="auto"/>
              </w:rPr>
            </w:pPr>
          </w:p>
        </w:tc>
        <w:tc>
          <w:tcPr>
            <w:tcW w:w="1340" w:type="dxa"/>
            <w:vAlign w:val="bottom"/>
          </w:tcPr>
          <w:p>
            <w:pPr>
              <w:jc w:val="center"/>
              <w:ind w:right="83"/>
              <w:spacing w:after="0"/>
              <w:rPr>
                <w:sz w:val="20"/>
                <w:szCs w:val="20"/>
                <w:color w:val="auto"/>
              </w:rPr>
            </w:pPr>
            <w:r>
              <w:rPr>
                <w:rFonts w:ascii="Arial" w:cs="Arial" w:eastAsia="Arial" w:hAnsi="Arial"/>
                <w:sz w:val="15"/>
                <w:szCs w:val="15"/>
                <w:b w:val="1"/>
                <w:bCs w:val="1"/>
                <w:color w:val="auto"/>
                <w:w w:val="99"/>
              </w:rPr>
              <w:t>Intrinsic</w:t>
            </w:r>
          </w:p>
        </w:tc>
      </w:tr>
      <w:tr>
        <w:trPr>
          <w:trHeight w:val="236"/>
        </w:trPr>
        <w:tc>
          <w:tcPr>
            <w:tcW w:w="4360" w:type="dxa"/>
            <w:vAlign w:val="bottom"/>
          </w:tcPr>
          <w:p>
            <w:pPr>
              <w:spacing w:after="0"/>
              <w:rPr>
                <w:sz w:val="20"/>
                <w:szCs w:val="20"/>
                <w:color w:val="auto"/>
              </w:rPr>
            </w:pPr>
          </w:p>
        </w:tc>
        <w:tc>
          <w:tcPr>
            <w:tcW w:w="15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Options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rPr>
              <w:t>Per Share</w:t>
            </w:r>
          </w:p>
        </w:tc>
        <w:tc>
          <w:tcPr>
            <w:tcW w:w="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Term</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9"/>
              </w:rPr>
              <w:t>Value</w:t>
            </w:r>
          </w:p>
        </w:tc>
      </w:tr>
      <w:tr>
        <w:trPr>
          <w:trHeight w:val="221"/>
        </w:trPr>
        <w:tc>
          <w:tcPr>
            <w:tcW w:w="4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(in years)</w:t>
            </w:r>
          </w:p>
        </w:tc>
        <w:tc>
          <w:tcPr>
            <w:tcW w:w="160" w:type="dxa"/>
            <w:vAlign w:val="bottom"/>
          </w:tcPr>
          <w:p>
            <w:pPr>
              <w:spacing w:after="0"/>
              <w:rPr>
                <w:sz w:val="19"/>
                <w:szCs w:val="19"/>
                <w:color w:val="auto"/>
              </w:rPr>
            </w:pPr>
          </w:p>
        </w:tc>
        <w:tc>
          <w:tcPr>
            <w:tcW w:w="1340" w:type="dxa"/>
            <w:vAlign w:val="bottom"/>
          </w:tcPr>
          <w:p>
            <w:pPr>
              <w:jc w:val="center"/>
              <w:ind w:right="83"/>
              <w:spacing w:after="0"/>
              <w:rPr>
                <w:sz w:val="20"/>
                <w:szCs w:val="20"/>
                <w:color w:val="auto"/>
              </w:rPr>
            </w:pPr>
            <w:r>
              <w:rPr>
                <w:rFonts w:ascii="Arial" w:cs="Arial" w:eastAsia="Arial" w:hAnsi="Arial"/>
                <w:sz w:val="15"/>
                <w:szCs w:val="15"/>
                <w:b w:val="1"/>
                <w:bCs w:val="1"/>
                <w:color w:val="auto"/>
              </w:rPr>
              <w:t>(in thousands)</w:t>
            </w:r>
          </w:p>
        </w:tc>
      </w:tr>
      <w:tr>
        <w:trPr>
          <w:trHeight w:val="21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outstanding as of December 31,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21,885,508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10.23</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366,605</w:t>
            </w:r>
          </w:p>
        </w:tc>
      </w:tr>
      <w:tr>
        <w:trPr>
          <w:trHeight w:val="209"/>
        </w:trPr>
        <w:tc>
          <w:tcPr>
            <w:tcW w:w="4360" w:type="dxa"/>
            <w:vAlign w:val="bottom"/>
          </w:tcPr>
          <w:p>
            <w:pPr>
              <w:ind w:left="20"/>
              <w:spacing w:after="0"/>
              <w:rPr>
                <w:sz w:val="20"/>
                <w:szCs w:val="20"/>
                <w:color w:val="auto"/>
              </w:rPr>
            </w:pPr>
            <w:r>
              <w:rPr>
                <w:rFonts w:ascii="Arial" w:cs="Arial" w:eastAsia="Arial" w:hAnsi="Arial"/>
                <w:sz w:val="15"/>
                <w:szCs w:val="15"/>
                <w:color w:val="auto"/>
              </w:rPr>
              <w:t>Granted</w:t>
            </w:r>
          </w:p>
        </w:tc>
        <w:tc>
          <w:tcPr>
            <w:tcW w:w="1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
        </w:trPr>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(136,099)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11.82</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5"/>
                <w:szCs w:val="15"/>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5"/>
                <w:szCs w:val="15"/>
                <w:color w:val="auto"/>
              </w:rPr>
              <w:t>(89,107)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17.57</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outstanding as of March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21,660,302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10.19</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170,885</w:t>
            </w: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8"/>
        </w:trPr>
        <w:tc>
          <w:tcPr>
            <w:tcW w:w="4360" w:type="dxa"/>
            <w:vAlign w:val="bottom"/>
          </w:tcPr>
          <w:p>
            <w:pPr>
              <w:ind w:left="20"/>
              <w:spacing w:after="0"/>
              <w:rPr>
                <w:sz w:val="20"/>
                <w:szCs w:val="20"/>
                <w:color w:val="auto"/>
              </w:rPr>
            </w:pPr>
            <w:r>
              <w:rPr>
                <w:rFonts w:ascii="Arial" w:cs="Arial" w:eastAsia="Arial" w:hAnsi="Arial"/>
                <w:sz w:val="15"/>
                <w:szCs w:val="15"/>
                <w:color w:val="auto"/>
              </w:rPr>
              <w:t>Total exercisable as of March 31, 2026</w:t>
            </w:r>
          </w:p>
        </w:tc>
        <w:tc>
          <w:tcPr>
            <w:tcW w:w="1500" w:type="dxa"/>
            <w:vAlign w:val="bottom"/>
          </w:tcPr>
          <w:p>
            <w:pPr>
              <w:jc w:val="right"/>
              <w:spacing w:after="0"/>
              <w:rPr>
                <w:sz w:val="20"/>
                <w:szCs w:val="20"/>
                <w:color w:val="auto"/>
              </w:rPr>
            </w:pPr>
            <w:r>
              <w:rPr>
                <w:rFonts w:ascii="Arial" w:cs="Arial" w:eastAsia="Arial" w:hAnsi="Arial"/>
                <w:sz w:val="15"/>
                <w:szCs w:val="15"/>
                <w:color w:val="auto"/>
              </w:rPr>
              <w:t>16,748,086</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8.01</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3.84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166,953</w:t>
            </w:r>
          </w:p>
        </w:tc>
      </w:tr>
      <w:tr>
        <w:trPr>
          <w:trHeight w:val="21"/>
        </w:trPr>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vested or expected to vest as of March 31, 2026</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21,091,459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9.98</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170,562</w:t>
            </w:r>
          </w:p>
        </w:tc>
      </w:tr>
      <w:tr>
        <w:trPr>
          <w:trHeight w:val="21"/>
        </w:trPr>
        <w:tc>
          <w:tcPr>
            <w:tcW w:w="43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7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*Includes 835 shares exercised but not settled as of March 31, 2026.</w:t>
      </w:r>
    </w:p>
    <w:p>
      <w:pPr>
        <w:spacing w:after="0" w:line="154"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Aggregate intrinsic value represents the difference between the estimated fair value of the underlying common stock and the exercise price of outstanding, in-the-money options.</w:t>
      </w:r>
    </w:p>
    <w:p>
      <w:pPr>
        <w:spacing w:after="0" w:line="94" w:lineRule="exact"/>
        <w:rPr>
          <w:sz w:val="20"/>
          <w:szCs w:val="20"/>
          <w:color w:val="auto"/>
        </w:rPr>
      </w:pPr>
    </w:p>
    <w:p>
      <w:pPr>
        <w:jc w:val="both"/>
        <w:ind w:right="200" w:firstLine="551"/>
        <w:spacing w:after="0" w:line="275" w:lineRule="auto"/>
        <w:rPr>
          <w:sz w:val="20"/>
          <w:szCs w:val="20"/>
          <w:color w:val="auto"/>
        </w:rPr>
      </w:pPr>
      <w:r>
        <w:rPr>
          <w:rFonts w:ascii="Arial" w:cs="Arial" w:eastAsia="Arial" w:hAnsi="Arial"/>
          <w:sz w:val="15"/>
          <w:szCs w:val="15"/>
          <w:color w:val="auto"/>
        </w:rPr>
        <w:t>The total intrinsic value of options exercised was $1.4 million and $1.8 million during the three months ended March 31, 2026 and 2025, respectively. As of March 31, 2026, there was approximately $42.0 million of total unrecognized stock-based compensation cost related to the unvested options under the 2020 Plan, which is expected to be recognized over a weighted-average period of 2.50 years.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Awards Activity</w:t>
      </w:r>
    </w:p>
    <w:p>
      <w:pPr>
        <w:spacing w:after="0" w:line="161" w:lineRule="exact"/>
        <w:rPr>
          <w:sz w:val="20"/>
          <w:szCs w:val="20"/>
          <w:color w:val="auto"/>
        </w:rPr>
      </w:pPr>
    </w:p>
    <w:p>
      <w:pPr>
        <w:jc w:val="both"/>
        <w:ind w:right="40" w:firstLine="551"/>
        <w:spacing w:after="0" w:line="275" w:lineRule="auto"/>
        <w:rPr>
          <w:sz w:val="20"/>
          <w:szCs w:val="20"/>
          <w:color w:val="auto"/>
        </w:rPr>
      </w:pPr>
      <w:r>
        <w:rPr>
          <w:rFonts w:ascii="Arial" w:cs="Arial" w:eastAsia="Arial" w:hAnsi="Arial"/>
          <w:sz w:val="15"/>
          <w:szCs w:val="15"/>
          <w:color w:val="auto"/>
        </w:rPr>
        <w:t>The Company grants restricted stock units (“RSUs”) that will be settled in shares of the Company's common stock upon vesting to its employees, consultants and non-employee directors. Vesting of restricted stock units granted generally occurs incrementally over four years, subject to the grantee's continuous service with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Performance Restricted Stock Unit Awards Activity</w:t>
      </w:r>
    </w:p>
    <w:p>
      <w:pPr>
        <w:spacing w:after="0" w:line="172" w:lineRule="exact"/>
        <w:rPr>
          <w:sz w:val="20"/>
          <w:szCs w:val="20"/>
          <w:color w:val="auto"/>
        </w:rPr>
      </w:pPr>
    </w:p>
    <w:p>
      <w:pPr>
        <w:jc w:val="both"/>
        <w:ind w:right="280" w:firstLine="551"/>
        <w:spacing w:after="0" w:line="262" w:lineRule="auto"/>
        <w:rPr>
          <w:sz w:val="20"/>
          <w:szCs w:val="20"/>
          <w:color w:val="auto"/>
        </w:rPr>
      </w:pPr>
      <w:r>
        <w:rPr>
          <w:rFonts w:ascii="Arial" w:cs="Arial" w:eastAsia="Arial" w:hAnsi="Arial"/>
          <w:sz w:val="15"/>
          <w:szCs w:val="15"/>
          <w:color w:val="auto"/>
        </w:rPr>
        <w:t>In March 2026, the Company granted performance restricted stock units (“PSUs”) as a form of stock-based compensation. A percentage of the number of PSUs will vest based upon achieving the Company’s operational target as of the end of 2026, and subject to continuous service by the employees through March 2028. Fifty percent of the aggregate number of achieved PSUs (if any) will vest upon certification in March 2027, with the remaining fifty percent vesting in March</w:t>
      </w:r>
    </w:p>
    <w:p>
      <w:pPr>
        <w:ind w:right="60"/>
        <w:spacing w:after="0" w:line="265" w:lineRule="auto"/>
        <w:rPr>
          <w:sz w:val="20"/>
          <w:szCs w:val="20"/>
          <w:color w:val="auto"/>
        </w:rPr>
      </w:pPr>
      <w:r>
        <w:rPr>
          <w:rFonts w:ascii="Arial" w:cs="Arial" w:eastAsia="Arial" w:hAnsi="Arial"/>
          <w:sz w:val="15"/>
          <w:szCs w:val="15"/>
          <w:color w:val="auto"/>
        </w:rPr>
        <w:t>2028. The grant date fair value of the PSUs was determined using the closing price of our common shares on the trading day prior to the grant date. Compensation expense for the PSUs is calculated based upon the most probable outcome of the possible performance conditions, and is recognized on a ratable straight-line basis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summarizes the Company's RSU and PSU activity for the three months ended March 31, 2026:</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7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r>
      <w:tr>
        <w:trPr>
          <w:trHeight w:val="230"/>
        </w:trPr>
        <w:tc>
          <w:tcPr>
            <w:tcW w:w="7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83"/>
              <w:spacing w:after="0"/>
              <w:rPr>
                <w:sz w:val="20"/>
                <w:szCs w:val="20"/>
                <w:color w:val="auto"/>
              </w:rPr>
            </w:pPr>
            <w:r>
              <w:rPr>
                <w:rFonts w:ascii="Arial" w:cs="Arial" w:eastAsia="Arial" w:hAnsi="Arial"/>
                <w:sz w:val="15"/>
                <w:szCs w:val="15"/>
                <w:b w:val="1"/>
                <w:bCs w:val="1"/>
                <w:color w:val="auto"/>
              </w:rPr>
              <w:t>Average Grant</w:t>
            </w:r>
          </w:p>
        </w:tc>
      </w:tr>
      <w:tr>
        <w:trPr>
          <w:trHeight w:val="236"/>
        </w:trPr>
        <w:tc>
          <w:tcPr>
            <w:tcW w:w="7540" w:type="dxa"/>
            <w:vAlign w:val="bottom"/>
          </w:tcPr>
          <w:p>
            <w:pPr>
              <w:spacing w:after="0"/>
              <w:rPr>
                <w:sz w:val="20"/>
                <w:szCs w:val="20"/>
                <w:color w:val="auto"/>
              </w:rPr>
            </w:pPr>
          </w:p>
        </w:tc>
        <w:tc>
          <w:tcPr>
            <w:tcW w:w="1600" w:type="dxa"/>
            <w:vAlign w:val="bottom"/>
            <w:gridSpan w:val="2"/>
          </w:tcPr>
          <w:p>
            <w:pPr>
              <w:ind w:left="5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20"/>
                <w:szCs w:val="20"/>
                <w:color w:val="auto"/>
              </w:rPr>
            </w:pPr>
          </w:p>
        </w:tc>
        <w:tc>
          <w:tcPr>
            <w:tcW w:w="1360" w:type="dxa"/>
            <w:vAlign w:val="bottom"/>
          </w:tcPr>
          <w:p>
            <w:pPr>
              <w:jc w:val="center"/>
              <w:ind w:right="83"/>
              <w:spacing w:after="0"/>
              <w:rPr>
                <w:sz w:val="20"/>
                <w:szCs w:val="20"/>
                <w:color w:val="auto"/>
              </w:rPr>
            </w:pPr>
            <w:r>
              <w:rPr>
                <w:rFonts w:ascii="Arial" w:cs="Arial" w:eastAsia="Arial" w:hAnsi="Arial"/>
                <w:sz w:val="15"/>
                <w:szCs w:val="15"/>
                <w:b w:val="1"/>
                <w:bCs w:val="1"/>
                <w:color w:val="auto"/>
                <w:w w:val="99"/>
              </w:rPr>
              <w:t>Date Fair Value</w:t>
            </w:r>
          </w:p>
        </w:tc>
      </w:tr>
      <w:tr>
        <w:trPr>
          <w:trHeight w:val="216"/>
        </w:trPr>
        <w:tc>
          <w:tcPr>
            <w:tcW w:w="75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Unvested as of December 31, 2025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4,494,342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21.18</w:t>
            </w:r>
          </w:p>
        </w:tc>
      </w:tr>
      <w:tr>
        <w:trPr>
          <w:trHeight w:val="209"/>
        </w:trPr>
        <w:tc>
          <w:tcPr>
            <w:tcW w:w="7540" w:type="dxa"/>
            <w:vAlign w:val="bottom"/>
          </w:tcPr>
          <w:p>
            <w:pPr>
              <w:spacing w:after="0"/>
              <w:rPr>
                <w:sz w:val="20"/>
                <w:szCs w:val="20"/>
                <w:color w:val="auto"/>
              </w:rPr>
            </w:pPr>
            <w:r>
              <w:rPr>
                <w:rFonts w:ascii="Arial" w:cs="Arial" w:eastAsia="Arial" w:hAnsi="Arial"/>
                <w:sz w:val="15"/>
                <w:szCs w:val="15"/>
                <w:color w:val="auto"/>
              </w:rPr>
              <w:t>RSUs Granted</w:t>
            </w:r>
          </w:p>
        </w:tc>
        <w:tc>
          <w:tcPr>
            <w:tcW w:w="1520" w:type="dxa"/>
            <w:vAlign w:val="bottom"/>
          </w:tcPr>
          <w:p>
            <w:pPr>
              <w:jc w:val="right"/>
              <w:spacing w:after="0"/>
              <w:rPr>
                <w:sz w:val="20"/>
                <w:szCs w:val="20"/>
                <w:color w:val="auto"/>
              </w:rPr>
            </w:pPr>
            <w:r>
              <w:rPr>
                <w:rFonts w:ascii="Arial" w:cs="Arial" w:eastAsia="Arial" w:hAnsi="Arial"/>
                <w:sz w:val="15"/>
                <w:szCs w:val="15"/>
                <w:color w:val="auto"/>
              </w:rPr>
              <w:t>3,574,938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19.22</w:t>
            </w:r>
          </w:p>
        </w:tc>
      </w:tr>
      <w:tr>
        <w:trPr>
          <w:trHeight w:val="21"/>
        </w:trPr>
        <w:tc>
          <w:tcPr>
            <w:tcW w:w="7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PSUs Granted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1,286,010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19.22</w:t>
            </w:r>
          </w:p>
        </w:tc>
      </w:tr>
      <w:tr>
        <w:trPr>
          <w:trHeight w:val="209"/>
        </w:trPr>
        <w:tc>
          <w:tcPr>
            <w:tcW w:w="7540" w:type="dxa"/>
            <w:vAlign w:val="bottom"/>
          </w:tcPr>
          <w:p>
            <w:pPr>
              <w:spacing w:after="0"/>
              <w:rPr>
                <w:sz w:val="20"/>
                <w:szCs w:val="20"/>
                <w:color w:val="auto"/>
              </w:rPr>
            </w:pPr>
            <w:r>
              <w:rPr>
                <w:rFonts w:ascii="Arial" w:cs="Arial" w:eastAsia="Arial" w:hAnsi="Arial"/>
                <w:sz w:val="15"/>
                <w:szCs w:val="15"/>
                <w:color w:val="auto"/>
              </w:rPr>
              <w:t>Vested</w:t>
            </w: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7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Cancelled/forfeited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(83,750)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21.05</w:t>
            </w:r>
          </w:p>
        </w:tc>
      </w:tr>
      <w:tr>
        <w:trPr>
          <w:trHeight w:val="216"/>
        </w:trPr>
        <w:tc>
          <w:tcPr>
            <w:tcW w:w="7540" w:type="dxa"/>
            <w:vAlign w:val="bottom"/>
          </w:tcPr>
          <w:p>
            <w:pPr>
              <w:spacing w:after="0"/>
              <w:rPr>
                <w:sz w:val="20"/>
                <w:szCs w:val="20"/>
                <w:color w:val="auto"/>
              </w:rPr>
            </w:pPr>
            <w:r>
              <w:rPr>
                <w:rFonts w:ascii="Arial" w:cs="Arial" w:eastAsia="Arial" w:hAnsi="Arial"/>
                <w:sz w:val="15"/>
                <w:szCs w:val="15"/>
                <w:color w:val="auto"/>
              </w:rPr>
              <w:t>Unvested as of March 31, 2026</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9,271,540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20.16</w:t>
            </w:r>
          </w:p>
        </w:tc>
      </w:tr>
      <w:tr>
        <w:trPr>
          <w:trHeight w:val="20"/>
        </w:trPr>
        <w:tc>
          <w:tcPr>
            <w:tcW w:w="7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551"/>
        <w:spacing w:after="0" w:line="294" w:lineRule="auto"/>
        <w:rPr>
          <w:sz w:val="20"/>
          <w:szCs w:val="20"/>
          <w:color w:val="auto"/>
        </w:rPr>
      </w:pPr>
      <w:r>
        <w:rPr>
          <w:rFonts w:ascii="Arial" w:cs="Arial" w:eastAsia="Arial" w:hAnsi="Arial"/>
          <w:sz w:val="15"/>
          <w:szCs w:val="15"/>
          <w:color w:val="auto"/>
        </w:rPr>
        <w:t>As of March 31, 2026, there was approximately $162.6 million of total unrecognized stock-based compensation cost related to unvested RSUs and PSUs, which is expected to be recognized over a weighted-average period of 3.16 years.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 Expense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Company recorded stock-based compensation expense in the condensed consolidated statements of operations and comprehensive loss as follows:</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540" w:type="dxa"/>
            <w:vAlign w:val="bottom"/>
          </w:tcPr>
          <w:p>
            <w:pPr>
              <w:spacing w:after="0"/>
              <w:rPr>
                <w:sz w:val="18"/>
                <w:szCs w:val="18"/>
                <w:color w:val="auto"/>
              </w:rPr>
            </w:pPr>
          </w:p>
        </w:tc>
        <w:tc>
          <w:tcPr>
            <w:tcW w:w="3120" w:type="dxa"/>
            <w:vAlign w:val="bottom"/>
            <w:tcBorders>
              <w:bottom w:val="single" w:sz="8" w:color="auto"/>
            </w:tcBorders>
            <w:gridSpan w:val="5"/>
          </w:tcPr>
          <w:p>
            <w:pPr>
              <w:jc w:val="right"/>
              <w:ind w:right="36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75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60" w:type="dxa"/>
            <w:vAlign w:val="bottom"/>
            <w:tcBorders>
              <w:bottom w:val="single" w:sz="8" w:color="auto"/>
            </w:tcBorders>
          </w:tcPr>
          <w:p>
            <w:pPr>
              <w:spacing w:after="0"/>
              <w:rPr>
                <w:sz w:val="19"/>
                <w:szCs w:val="19"/>
                <w:color w:val="auto"/>
              </w:rPr>
            </w:pPr>
          </w:p>
        </w:tc>
      </w:tr>
      <w:tr>
        <w:trPr>
          <w:trHeight w:val="256"/>
        </w:trPr>
        <w:tc>
          <w:tcPr>
            <w:tcW w:w="7540" w:type="dxa"/>
            <w:vAlign w:val="bottom"/>
          </w:tcPr>
          <w:p>
            <w:pPr>
              <w:spacing w:after="0"/>
              <w:rPr>
                <w:sz w:val="22"/>
                <w:szCs w:val="22"/>
                <w:color w:val="auto"/>
              </w:rPr>
            </w:pPr>
          </w:p>
        </w:tc>
        <w:tc>
          <w:tcPr>
            <w:tcW w:w="2560" w:type="dxa"/>
            <w:vAlign w:val="bottom"/>
            <w:gridSpan w:val="4"/>
          </w:tcPr>
          <w:p>
            <w:pPr>
              <w:jc w:val="right"/>
              <w:ind w:right="63"/>
              <w:spacing w:after="0"/>
              <w:rPr>
                <w:sz w:val="20"/>
                <w:szCs w:val="20"/>
                <w:color w:val="auto"/>
              </w:rPr>
            </w:pPr>
            <w:r>
              <w:rPr>
                <w:rFonts w:ascii="Arial" w:cs="Arial" w:eastAsia="Arial" w:hAnsi="Arial"/>
                <w:sz w:val="15"/>
                <w:szCs w:val="15"/>
                <w:b w:val="1"/>
                <w:bCs w:val="1"/>
                <w:color w:val="auto"/>
              </w:rPr>
              <w:t>(amounts in thousands)</w:t>
            </w:r>
          </w:p>
        </w:tc>
        <w:tc>
          <w:tcPr>
            <w:tcW w:w="560" w:type="dxa"/>
            <w:vAlign w:val="bottom"/>
          </w:tcPr>
          <w:p>
            <w:pPr>
              <w:spacing w:after="0"/>
              <w:rPr>
                <w:sz w:val="22"/>
                <w:szCs w:val="22"/>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services - Molecular profiling services</w:t>
            </w:r>
          </w:p>
        </w:tc>
        <w:tc>
          <w:tcPr>
            <w:tcW w:w="94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1,323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466</w:t>
            </w:r>
          </w:p>
        </w:tc>
      </w:tr>
      <w:tr>
        <w:trPr>
          <w:trHeight w:val="209"/>
        </w:trPr>
        <w:tc>
          <w:tcPr>
            <w:tcW w:w="7540" w:type="dxa"/>
            <w:vAlign w:val="bottom"/>
          </w:tcPr>
          <w:p>
            <w:pPr>
              <w:spacing w:after="0"/>
              <w:rPr>
                <w:sz w:val="20"/>
                <w:szCs w:val="20"/>
                <w:color w:val="auto"/>
              </w:rPr>
            </w:pPr>
            <w:r>
              <w:rPr>
                <w:rFonts w:ascii="Arial" w:cs="Arial" w:eastAsia="Arial" w:hAnsi="Arial"/>
                <w:sz w:val="15"/>
                <w:szCs w:val="15"/>
                <w:color w:val="auto"/>
              </w:rPr>
              <w:t>Cost of services - Pharma research and development services</w:t>
            </w:r>
          </w:p>
        </w:tc>
        <w:tc>
          <w:tcPr>
            <w:tcW w:w="9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7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Selling and marketing expense</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3,816</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1,243</w:t>
            </w:r>
          </w:p>
        </w:tc>
      </w:tr>
      <w:tr>
        <w:trPr>
          <w:trHeight w:val="209"/>
        </w:trPr>
        <w:tc>
          <w:tcPr>
            <w:tcW w:w="7540" w:type="dxa"/>
            <w:vAlign w:val="bottom"/>
          </w:tcPr>
          <w:p>
            <w:pPr>
              <w:spacing w:after="0"/>
              <w:rPr>
                <w:sz w:val="20"/>
                <w:szCs w:val="20"/>
                <w:color w:val="auto"/>
              </w:rPr>
            </w:pPr>
            <w:r>
              <w:rPr>
                <w:rFonts w:ascii="Arial" w:cs="Arial" w:eastAsia="Arial" w:hAnsi="Arial"/>
                <w:sz w:val="15"/>
                <w:szCs w:val="15"/>
                <w:color w:val="auto"/>
              </w:rPr>
              <w:t>General and administrative expense</w:t>
            </w:r>
          </w:p>
        </w:tc>
        <w:tc>
          <w:tcPr>
            <w:tcW w:w="9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7,436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10,636</w:t>
            </w:r>
          </w:p>
        </w:tc>
      </w:tr>
      <w:tr>
        <w:trPr>
          <w:trHeight w:val="21"/>
        </w:trPr>
        <w:tc>
          <w:tcPr>
            <w:tcW w:w="7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Research and development expense</w:t>
            </w:r>
          </w:p>
        </w:tc>
        <w:tc>
          <w:tcPr>
            <w:tcW w:w="9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3,284</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2,346</w:t>
            </w:r>
          </w:p>
        </w:tc>
      </w:tr>
      <w:tr>
        <w:trPr>
          <w:trHeight w:val="216"/>
        </w:trPr>
        <w:tc>
          <w:tcPr>
            <w:tcW w:w="7540" w:type="dxa"/>
            <w:vAlign w:val="bottom"/>
          </w:tcPr>
          <w:p>
            <w:pPr>
              <w:spacing w:after="0"/>
              <w:rPr>
                <w:sz w:val="20"/>
                <w:szCs w:val="20"/>
                <w:color w:val="auto"/>
              </w:rPr>
            </w:pPr>
            <w:r>
              <w:rPr>
                <w:rFonts w:ascii="Arial" w:cs="Arial" w:eastAsia="Arial" w:hAnsi="Arial"/>
                <w:sz w:val="15"/>
                <w:szCs w:val="15"/>
                <w:color w:val="auto"/>
              </w:rPr>
              <w:t>Total</w:t>
            </w:r>
          </w:p>
        </w:tc>
        <w:tc>
          <w:tcPr>
            <w:tcW w:w="94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15,872</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14,691</w:t>
            </w:r>
          </w:p>
        </w:tc>
      </w:tr>
      <w:tr>
        <w:trPr>
          <w:trHeight w:val="20"/>
        </w:trPr>
        <w:tc>
          <w:tcPr>
            <w:tcW w:w="7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Stock-Based Awards</w:t>
      </w:r>
    </w:p>
    <w:p>
      <w:pPr>
        <w:spacing w:after="0" w:line="172" w:lineRule="exact"/>
        <w:rPr>
          <w:sz w:val="20"/>
          <w:szCs w:val="20"/>
          <w:color w:val="auto"/>
        </w:rPr>
      </w:pPr>
    </w:p>
    <w:p>
      <w:pPr>
        <w:ind w:firstLine="551"/>
        <w:spacing w:after="0" w:line="275" w:lineRule="auto"/>
        <w:rPr>
          <w:sz w:val="20"/>
          <w:szCs w:val="20"/>
          <w:color w:val="auto"/>
        </w:rPr>
      </w:pPr>
      <w:r>
        <w:rPr>
          <w:rFonts w:ascii="Arial" w:cs="Arial" w:eastAsia="Arial" w:hAnsi="Arial"/>
          <w:sz w:val="15"/>
          <w:szCs w:val="15"/>
          <w:color w:val="auto"/>
        </w:rPr>
        <w:t>The Company records stock-based compensation expense for stock-based awards based on the estimated fair value of the awards on the date of the grant. The fair value of the Company’s restricted stock units is based on the fair value of the Company’s common stock at the closing market price on the day before the date of grant.</w:t>
      </w:r>
    </w:p>
    <w:p>
      <w:pPr>
        <w:spacing w:after="0" w:line="108" w:lineRule="exact"/>
        <w:rPr>
          <w:sz w:val="20"/>
          <w:szCs w:val="20"/>
          <w:color w:val="auto"/>
        </w:rPr>
      </w:pPr>
    </w:p>
    <w:p>
      <w:pPr>
        <w:ind w:right="20" w:firstLine="551"/>
        <w:spacing w:after="0" w:line="261" w:lineRule="auto"/>
        <w:rPr>
          <w:sz w:val="20"/>
          <w:szCs w:val="20"/>
          <w:color w:val="auto"/>
        </w:rPr>
      </w:pPr>
      <w:r>
        <w:rPr>
          <w:rFonts w:ascii="Arial" w:cs="Arial" w:eastAsia="Arial" w:hAnsi="Arial"/>
          <w:sz w:val="15"/>
          <w:szCs w:val="15"/>
          <w:color w:val="auto"/>
        </w:rPr>
        <w:t xml:space="preserve">The Company estimates the fair value of stock options using a Black-Scholes option pricing model. Prior to the IPO, the absence of a public market for the Company’s common stock required the Company’s Board of Directors to estimate the fair value of its common stock for purposes of granting options and for determining stock-based compensation expense by considering several objective and subjective factors, including contemporaneous third-party valuations, actual and forecasted operating and financial results, market conditions and performance of comparable publicly traded companies, developments and milestones in the Company, the rights and preferences of common and convertible preferred stock, transactions involving the Company’s common stock, and assumptions for a discount for lack of marketability. The fair value of the Company’s common stock was determined in accordance with the applicable elements of the American Institute of Certified Public Accountants Accounting and Valuations Guide, </w:t>
      </w:r>
      <w:r>
        <w:rPr>
          <w:rFonts w:ascii="Arial" w:cs="Arial" w:eastAsia="Arial" w:hAnsi="Arial"/>
          <w:sz w:val="15"/>
          <w:szCs w:val="15"/>
          <w:i w:val="1"/>
          <w:iCs w:val="1"/>
          <w:color w:val="auto"/>
        </w:rPr>
        <w:t>Valuation of Privately Held Company Equity Securities Issued as Compensation</w:t>
      </w:r>
      <w:r>
        <w:rPr>
          <w:rFonts w:ascii="Arial" w:cs="Arial" w:eastAsia="Arial" w:hAnsi="Arial"/>
          <w:sz w:val="15"/>
          <w:szCs w:val="15"/>
          <w:color w:val="auto"/>
        </w:rPr>
        <w:t>. Following the IPO, the fair value of the Company’s common stock is determined based on its closing market price.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key assumptions used in determining the fair value of options granted and a summary of the methodology applied to develop each assumption are as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90" w:lineRule="exact"/>
        <w:rPr>
          <w:sz w:val="20"/>
          <w:szCs w:val="20"/>
          <w:color w:val="auto"/>
        </w:rPr>
      </w:pPr>
    </w:p>
    <w:p>
      <w:pPr>
        <w:jc w:val="center"/>
        <w:ind w:left="8520"/>
        <w:spacing w:after="0"/>
        <w:rPr>
          <w:sz w:val="20"/>
          <w:szCs w:val="20"/>
          <w:color w:val="auto"/>
        </w:rPr>
      </w:pPr>
      <w:r>
        <w:rPr>
          <w:rFonts w:ascii="Arial" w:cs="Arial" w:eastAsia="Arial" w:hAnsi="Arial"/>
          <w:sz w:val="15"/>
          <w:szCs w:val="15"/>
          <w:b w:val="1"/>
          <w:bCs w:val="1"/>
          <w:color w:val="auto"/>
        </w:rPr>
        <w:t>Three Months Ended March</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5"/>
          <w:szCs w:val="15"/>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22225</wp:posOffset>
            </wp:positionV>
            <wp:extent cx="137795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7950" cy="6985"/>
                    </a:xfrm>
                    <a:prstGeom prst="rect">
                      <a:avLst/>
                    </a:prstGeom>
                    <a:noFill/>
                  </pic:spPr>
                </pic:pic>
              </a:graphicData>
            </a:graphic>
          </wp:anchor>
        </w:drawing>
      </w:r>
    </w:p>
    <w:p>
      <w:pPr>
        <w:spacing w:after="0" w:line="33" w:lineRule="exact"/>
        <w:rPr>
          <w:sz w:val="20"/>
          <w:szCs w:val="20"/>
          <w:color w:val="auto"/>
        </w:rPr>
      </w:pPr>
    </w:p>
    <w:p>
      <w:pPr>
        <w:ind w:left="9720"/>
        <w:spacing w:after="0"/>
        <w:rPr>
          <w:sz w:val="20"/>
          <w:szCs w:val="20"/>
          <w:color w:val="auto"/>
        </w:rPr>
      </w:pPr>
      <w:r>
        <w:rPr>
          <w:rFonts w:ascii="Arial" w:cs="Arial" w:eastAsia="Arial" w:hAnsi="Arial"/>
          <w:sz w:val="15"/>
          <w:szCs w:val="15"/>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32385</wp:posOffset>
            </wp:positionV>
            <wp:extent cx="137795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7950" cy="6985"/>
                    </a:xfrm>
                    <a:prstGeom prst="rect">
                      <a:avLst/>
                    </a:prstGeom>
                    <a:noFill/>
                  </pic:spPr>
                </pic:pic>
              </a:graphicData>
            </a:graphic>
          </wp:anchor>
        </w:drawing>
      </w:r>
    </w:p>
    <w:p>
      <w:pPr>
        <w:spacing w:after="0" w:line="215"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4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w:t>
            </w:r>
          </w:p>
        </w:tc>
        <w:tc>
          <w:tcPr>
            <w:tcW w:w="1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- 69.5%</w:t>
            </w:r>
          </w:p>
        </w:tc>
      </w:tr>
      <w:tr>
        <w:trPr>
          <w:trHeight w:val="209"/>
        </w:trPr>
        <w:tc>
          <w:tcPr>
            <w:tcW w:w="536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4200" w:type="dxa"/>
            <w:vAlign w:val="bottom"/>
          </w:tcPr>
          <w:p>
            <w:pPr>
              <w:jc w:val="right"/>
              <w:spacing w:after="0"/>
              <w:rPr>
                <w:sz w:val="20"/>
                <w:szCs w:val="20"/>
                <w:color w:val="auto"/>
              </w:rPr>
            </w:pPr>
            <w:r>
              <w:rPr>
                <w:rFonts w:ascii="Arial" w:cs="Arial" w:eastAsia="Arial" w:hAnsi="Arial"/>
                <w:sz w:val="15"/>
                <w:szCs w:val="15"/>
                <w:color w:val="auto"/>
              </w:rPr>
              <w:t>3.9%</w:t>
            </w:r>
          </w:p>
        </w:tc>
        <w:tc>
          <w:tcPr>
            <w:tcW w:w="1120" w:type="dxa"/>
            <w:vAlign w:val="bottom"/>
          </w:tcPr>
          <w:p>
            <w:pPr>
              <w:ind w:left="20"/>
              <w:spacing w:after="0"/>
              <w:rPr>
                <w:sz w:val="20"/>
                <w:szCs w:val="20"/>
                <w:color w:val="auto"/>
              </w:rPr>
            </w:pPr>
            <w:r>
              <w:rPr>
                <w:rFonts w:ascii="Arial" w:cs="Arial" w:eastAsia="Arial" w:hAnsi="Arial"/>
                <w:sz w:val="15"/>
                <w:szCs w:val="15"/>
                <w:color w:val="auto"/>
              </w:rPr>
              <w:t>- 4.1%</w:t>
            </w:r>
          </w:p>
        </w:tc>
      </w:tr>
      <w:tr>
        <w:trPr>
          <w:trHeight w:val="21"/>
        </w:trPr>
        <w:tc>
          <w:tcPr>
            <w:tcW w:w="5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Expected term (years)</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- 6.55</w:t>
            </w:r>
          </w:p>
        </w:tc>
      </w:tr>
      <w:tr>
        <w:trPr>
          <w:trHeight w:val="209"/>
        </w:trPr>
        <w:tc>
          <w:tcPr>
            <w:tcW w:w="5360" w:type="dxa"/>
            <w:vAlign w:val="bottom"/>
          </w:tcPr>
          <w:p>
            <w:pPr>
              <w:ind w:left="20"/>
              <w:spacing w:after="0"/>
              <w:rPr>
                <w:sz w:val="20"/>
                <w:szCs w:val="20"/>
                <w:color w:val="auto"/>
              </w:rPr>
            </w:pPr>
            <w:r>
              <w:rPr>
                <w:rFonts w:ascii="Arial" w:cs="Arial" w:eastAsia="Arial" w:hAnsi="Arial"/>
                <w:sz w:val="15"/>
                <w:szCs w:val="15"/>
                <w:color w:val="auto"/>
              </w:rPr>
              <w:t>Expected dividend rate</w:t>
            </w:r>
          </w:p>
        </w:tc>
        <w:tc>
          <w:tcPr>
            <w:tcW w:w="5320" w:type="dxa"/>
            <w:vAlign w:val="bottom"/>
            <w:gridSpan w:val="2"/>
          </w:tcPr>
          <w:p>
            <w:pPr>
              <w:jc w:val="center"/>
              <w:ind w:left="3083"/>
              <w:spacing w:after="0"/>
              <w:rPr>
                <w:sz w:val="20"/>
                <w:szCs w:val="20"/>
                <w:color w:val="auto"/>
              </w:rPr>
            </w:pPr>
            <w:r>
              <w:rPr>
                <w:rFonts w:ascii="Arial" w:cs="Arial" w:eastAsia="Arial" w:hAnsi="Arial"/>
                <w:sz w:val="15"/>
                <w:szCs w:val="15"/>
                <w:color w:val="auto"/>
                <w:w w:val="98"/>
              </w:rPr>
              <w:t>—%</w:t>
            </w:r>
          </w:p>
        </w:tc>
      </w:tr>
      <w:tr>
        <w:trPr>
          <w:trHeight w:val="21"/>
        </w:trPr>
        <w:tc>
          <w:tcPr>
            <w:tcW w:w="536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forfeiture rate</w:t>
            </w:r>
          </w:p>
        </w:tc>
        <w:tc>
          <w:tcPr>
            <w:tcW w:w="5320" w:type="dxa"/>
            <w:vAlign w:val="bottom"/>
            <w:gridSpan w:val="2"/>
            <w:shd w:val="clear" w:color="auto" w:fill="CCEEFF"/>
          </w:tcPr>
          <w:p>
            <w:pPr>
              <w:jc w:val="center"/>
              <w:ind w:left="3103"/>
              <w:spacing w:after="0"/>
              <w:rPr>
                <w:sz w:val="20"/>
                <w:szCs w:val="20"/>
                <w:color w:val="auto"/>
              </w:rPr>
            </w:pPr>
            <w:r>
              <w:rPr>
                <w:rFonts w:ascii="Arial" w:cs="Arial" w:eastAsia="Arial" w:hAnsi="Arial"/>
                <w:sz w:val="15"/>
                <w:szCs w:val="15"/>
                <w:color w:val="auto"/>
              </w:rPr>
              <w:t>—% - 8.3%</w:t>
            </w:r>
          </w:p>
        </w:tc>
      </w:tr>
      <w:tr>
        <w:trPr>
          <w:trHeight w:val="21"/>
        </w:trPr>
        <w:tc>
          <w:tcPr>
            <w:tcW w:w="536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right="80" w:firstLine="551"/>
        <w:spacing w:after="0" w:line="268" w:lineRule="auto"/>
        <w:rPr>
          <w:sz w:val="20"/>
          <w:szCs w:val="20"/>
          <w:color w:val="auto"/>
        </w:rPr>
      </w:pPr>
      <w:r>
        <w:rPr>
          <w:rFonts w:ascii="Arial" w:cs="Arial" w:eastAsia="Arial" w:hAnsi="Arial"/>
          <w:sz w:val="15"/>
          <w:szCs w:val="15"/>
          <w:color w:val="auto"/>
        </w:rPr>
        <w:t>The Company estimates the fair value of stock purchase rights granted under the ESPP at the start of the offering period using the Black-Scholes options-pricing model. Key weighted-average assumptions used in the model include expected stock price volatility, risk-free interest rate, expected term (equal to the six-month offering period), expected dividend yield, and expected forfeiture rate. The Company uses historical data to estimate expected volatility and other assumptions consistent with those used for stock option valuations.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the three months ended March 31, 2026, there were no options granted.</w:t>
      </w:r>
    </w:p>
    <w:p>
      <w:pPr>
        <w:spacing w:after="0" w:line="161" w:lineRule="exact"/>
        <w:rPr>
          <w:sz w:val="20"/>
          <w:szCs w:val="20"/>
          <w:color w:val="auto"/>
        </w:rPr>
      </w:pPr>
    </w:p>
    <w:p>
      <w:pPr>
        <w:ind w:firstLine="551"/>
        <w:spacing w:after="0" w:line="267" w:lineRule="auto"/>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This is a measure of the amount by which the share price has fluctuated or is expected to fluctuate. An increase in the expected price</w:t>
      </w:r>
      <w:r>
        <w:rPr>
          <w:rFonts w:ascii="Arial" w:cs="Arial" w:eastAsia="Arial" w:hAnsi="Arial"/>
          <w:sz w:val="15"/>
          <w:szCs w:val="15"/>
          <w:i w:val="1"/>
          <w:iCs w:val="1"/>
          <w:color w:val="auto"/>
        </w:rPr>
        <w:t xml:space="preserve"> </w:t>
      </w:r>
      <w:r>
        <w:rPr>
          <w:rFonts w:ascii="Arial" w:cs="Arial" w:eastAsia="Arial" w:hAnsi="Arial"/>
          <w:sz w:val="15"/>
          <w:szCs w:val="15"/>
          <w:color w:val="auto"/>
        </w:rPr>
        <w:t>volatility will increase the fair value of the option granted and the related compensation expense. As the Company was not publicly traded prior to June 2025, the expected price volatility for the Company's options was determined by using an average of historical volatilities of selected industry peers deemed to be comparable to the business corresponding to the expected term of the awards. Subsequent to the Company’s IPO, expected volatility is based on the historical volatility of its common stock.</w:t>
      </w:r>
    </w:p>
    <w:p>
      <w:pPr>
        <w:spacing w:after="0" w:line="300" w:lineRule="exact"/>
        <w:rPr>
          <w:sz w:val="20"/>
          <w:szCs w:val="20"/>
          <w:color w:val="auto"/>
        </w:rPr>
      </w:pPr>
    </w:p>
    <w:p>
      <w:pPr>
        <w:ind w:right="80" w:firstLine="551"/>
        <w:spacing w:after="0" w:line="294" w:lineRule="auto"/>
        <w:rPr>
          <w:sz w:val="20"/>
          <w:szCs w:val="20"/>
          <w:color w:val="auto"/>
        </w:rPr>
      </w:pPr>
      <w:r>
        <w:rPr>
          <w:rFonts w:ascii="Arial" w:cs="Arial" w:eastAsia="Arial" w:hAnsi="Arial"/>
          <w:sz w:val="15"/>
          <w:szCs w:val="15"/>
          <w:i w:val="1"/>
          <w:iCs w:val="1"/>
          <w:color w:val="auto"/>
        </w:rPr>
        <w:t xml:space="preserve">Risk-free interest rate. </w:t>
      </w:r>
      <w:r>
        <w:rPr>
          <w:rFonts w:ascii="Arial" w:cs="Arial" w:eastAsia="Arial" w:hAnsi="Arial"/>
          <w:sz w:val="15"/>
          <w:szCs w:val="15"/>
          <w:color w:val="auto"/>
        </w:rPr>
        <w:t>The risk-free interest rate is based on the U.S. Treasury yield curve in effect at the time of grant for U.S. Treasury notes with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corresponding to the expected term of the awards.</w:t>
      </w:r>
    </w:p>
    <w:p>
      <w:pPr>
        <w:spacing w:after="0" w:line="106" w:lineRule="exact"/>
        <w:rPr>
          <w:sz w:val="20"/>
          <w:szCs w:val="20"/>
          <w:color w:val="auto"/>
        </w:rPr>
      </w:pPr>
    </w:p>
    <w:p>
      <w:pPr>
        <w:ind w:right="100" w:firstLine="551"/>
        <w:spacing w:after="0" w:line="26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This is the period of time over which the options granted are expected to remain outstanding and is based on the Company’s estimate, taking</w:t>
      </w:r>
      <w:r>
        <w:rPr>
          <w:rFonts w:ascii="Arial" w:cs="Arial" w:eastAsia="Arial" w:hAnsi="Arial"/>
          <w:sz w:val="15"/>
          <w:szCs w:val="15"/>
          <w:i w:val="1"/>
          <w:iCs w:val="1"/>
          <w:color w:val="auto"/>
        </w:rPr>
        <w:t xml:space="preserve"> </w:t>
      </w:r>
      <w:r>
        <w:rPr>
          <w:rFonts w:ascii="Arial" w:cs="Arial" w:eastAsia="Arial" w:hAnsi="Arial"/>
          <w:sz w:val="15"/>
          <w:szCs w:val="15"/>
          <w:color w:val="auto"/>
        </w:rPr>
        <w:t>into consideration vesting term, contractual term and historical actual lives. Options granted have a maximum term of ten years. An increase in the expected life will increase the fair value of the option granted and the related compensation expense. Due to the lack of historical share option exercise data, the Company utilizes the simplified method for determining the expected term.</w:t>
      </w:r>
    </w:p>
    <w:p>
      <w:pPr>
        <w:spacing w:after="0" w:line="114" w:lineRule="exact"/>
        <w:rPr>
          <w:sz w:val="20"/>
          <w:szCs w:val="20"/>
          <w:color w:val="auto"/>
        </w:rPr>
      </w:pPr>
    </w:p>
    <w:p>
      <w:pPr>
        <w:ind w:right="80" w:firstLine="551"/>
        <w:spacing w:after="0" w:line="294" w:lineRule="auto"/>
        <w:rPr>
          <w:sz w:val="20"/>
          <w:szCs w:val="20"/>
          <w:color w:val="auto"/>
        </w:rPr>
      </w:pPr>
      <w:r>
        <w:rPr>
          <w:rFonts w:ascii="Arial" w:cs="Arial" w:eastAsia="Arial" w:hAnsi="Arial"/>
          <w:sz w:val="15"/>
          <w:szCs w:val="15"/>
          <w:i w:val="1"/>
          <w:iCs w:val="1"/>
          <w:color w:val="auto"/>
        </w:rPr>
        <w:t xml:space="preserve">Dividend rate. </w:t>
      </w:r>
      <w:r>
        <w:rPr>
          <w:rFonts w:ascii="Arial" w:cs="Arial" w:eastAsia="Arial" w:hAnsi="Arial"/>
          <w:sz w:val="15"/>
          <w:szCs w:val="15"/>
          <w:color w:val="auto"/>
        </w:rPr>
        <w:t>The Company has not made any dividend payments, nor does it have plans to pay dividends in the foreseeable future. Therefore, an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yield of zero is utilized.</w:t>
      </w:r>
    </w:p>
    <w:p>
      <w:pPr>
        <w:spacing w:after="0" w:line="94" w:lineRule="exact"/>
        <w:rPr>
          <w:sz w:val="20"/>
          <w:szCs w:val="20"/>
          <w:color w:val="auto"/>
        </w:rPr>
      </w:pPr>
    </w:p>
    <w:p>
      <w:pPr>
        <w:ind w:right="580" w:firstLine="551"/>
        <w:spacing w:after="0" w:line="294" w:lineRule="auto"/>
        <w:rPr>
          <w:sz w:val="20"/>
          <w:szCs w:val="20"/>
          <w:color w:val="auto"/>
        </w:rPr>
      </w:pPr>
      <w:r>
        <w:rPr>
          <w:rFonts w:ascii="Arial" w:cs="Arial" w:eastAsia="Arial" w:hAnsi="Arial"/>
          <w:sz w:val="15"/>
          <w:szCs w:val="15"/>
          <w:i w:val="1"/>
          <w:iCs w:val="1"/>
          <w:color w:val="auto"/>
        </w:rPr>
        <w:t xml:space="preserve">Forfeitures. </w:t>
      </w:r>
      <w:r>
        <w:rPr>
          <w:rFonts w:ascii="Arial" w:cs="Arial" w:eastAsia="Arial" w:hAnsi="Arial"/>
          <w:sz w:val="15"/>
          <w:szCs w:val="15"/>
          <w:color w:val="auto"/>
        </w:rPr>
        <w:t>Forfeitures are estimated at the time of grant and reduce compensation expense ratably over the vesting period. This estimate is adjusted</w:t>
      </w:r>
      <w:r>
        <w:rPr>
          <w:rFonts w:ascii="Arial" w:cs="Arial" w:eastAsia="Arial" w:hAnsi="Arial"/>
          <w:sz w:val="15"/>
          <w:szCs w:val="15"/>
          <w:i w:val="1"/>
          <w:iCs w:val="1"/>
          <w:color w:val="auto"/>
        </w:rPr>
        <w:t xml:space="preserve"> </w:t>
      </w:r>
      <w:r>
        <w:rPr>
          <w:rFonts w:ascii="Arial" w:cs="Arial" w:eastAsia="Arial" w:hAnsi="Arial"/>
          <w:sz w:val="15"/>
          <w:szCs w:val="15"/>
          <w:color w:val="auto"/>
        </w:rPr>
        <w:t>periodically based on the extent to which actual forfeitures differ, or are expected to differ, from the previous estimate.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Long-Term Debt</w:t>
      </w:r>
    </w:p>
    <w:p>
      <w:pPr>
        <w:spacing w:after="0" w:line="163" w:lineRule="exact"/>
        <w:rPr>
          <w:sz w:val="20"/>
          <w:szCs w:val="20"/>
          <w:color w:val="auto"/>
        </w:rPr>
      </w:pPr>
    </w:p>
    <w:p>
      <w:pPr>
        <w:ind w:right="40" w:firstLine="551"/>
        <w:spacing w:after="0" w:line="294" w:lineRule="auto"/>
        <w:rPr>
          <w:sz w:val="20"/>
          <w:szCs w:val="20"/>
          <w:color w:val="auto"/>
        </w:rPr>
      </w:pPr>
      <w:r>
        <w:rPr>
          <w:rFonts w:ascii="Arial" w:cs="Arial" w:eastAsia="Arial" w:hAnsi="Arial"/>
          <w:sz w:val="15"/>
          <w:szCs w:val="15"/>
          <w:color w:val="auto"/>
        </w:rPr>
        <w:t>The carrying value of debt presented within current portion of indebtedness and long-term indebtedness, net of debt discounts on the condensed consolidated balance sheets as of March 31, 2026 and December 31, 2025 includes the following components:</w:t>
      </w:r>
    </w:p>
    <w:p>
      <w:pPr>
        <w:spacing w:after="0" w:line="150"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6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As of March 31, 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As of December 31, 2025</w:t>
            </w:r>
          </w:p>
        </w:tc>
      </w:tr>
      <w:tr>
        <w:trPr>
          <w:trHeight w:val="256"/>
        </w:trPr>
        <w:tc>
          <w:tcPr>
            <w:tcW w:w="6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00" w:type="dxa"/>
            <w:vAlign w:val="bottom"/>
            <w:gridSpan w:val="4"/>
          </w:tcPr>
          <w:p>
            <w:pPr>
              <w:jc w:val="right"/>
              <w:ind w:right="1203"/>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Term loan Initial Draw - January 18, 2023</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200,000</w:t>
            </w:r>
          </w:p>
        </w:tc>
      </w:tr>
      <w:tr>
        <w:trPr>
          <w:trHeight w:val="209"/>
        </w:trPr>
        <w:tc>
          <w:tcPr>
            <w:tcW w:w="6380" w:type="dxa"/>
            <w:vAlign w:val="bottom"/>
          </w:tcPr>
          <w:p>
            <w:pPr>
              <w:ind w:left="20"/>
              <w:spacing w:after="0"/>
              <w:rPr>
                <w:sz w:val="20"/>
                <w:szCs w:val="20"/>
                <w:color w:val="auto"/>
              </w:rPr>
            </w:pPr>
            <w:r>
              <w:rPr>
                <w:rFonts w:ascii="Arial" w:cs="Arial" w:eastAsia="Arial" w:hAnsi="Arial"/>
                <w:sz w:val="15"/>
                <w:szCs w:val="15"/>
                <w:color w:val="auto"/>
              </w:rPr>
              <w:t>Exit fee on term loan - January 18, 2023</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21"/>
        </w:trPr>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Term loan Subsequent Draw - March 5, 2024</w:t>
            </w:r>
          </w:p>
        </w:tc>
        <w:tc>
          <w:tcPr>
            <w:tcW w:w="2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200,000</w:t>
            </w:r>
          </w:p>
        </w:tc>
      </w:tr>
      <w:tr>
        <w:trPr>
          <w:trHeight w:val="209"/>
        </w:trPr>
        <w:tc>
          <w:tcPr>
            <w:tcW w:w="6380" w:type="dxa"/>
            <w:vAlign w:val="bottom"/>
          </w:tcPr>
          <w:p>
            <w:pPr>
              <w:ind w:left="20"/>
              <w:spacing w:after="0"/>
              <w:rPr>
                <w:sz w:val="20"/>
                <w:szCs w:val="20"/>
                <w:color w:val="auto"/>
              </w:rPr>
            </w:pPr>
            <w:r>
              <w:rPr>
                <w:rFonts w:ascii="Arial" w:cs="Arial" w:eastAsia="Arial" w:hAnsi="Arial"/>
                <w:sz w:val="15"/>
                <w:szCs w:val="15"/>
                <w:color w:val="auto"/>
              </w:rPr>
              <w:t>Exit fee on term loan - March 5, 2024</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2,000</w:t>
            </w:r>
          </w:p>
        </w:tc>
      </w:tr>
      <w:tr>
        <w:trPr>
          <w:trHeight w:val="21"/>
        </w:trPr>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Less: Amortized debt discounts and financing costs </w:t>
            </w:r>
            <w:r>
              <w:rPr>
                <w:rFonts w:ascii="Arial" w:cs="Arial" w:eastAsia="Arial" w:hAnsi="Arial"/>
                <w:sz w:val="19"/>
                <w:szCs w:val="19"/>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(25,550)</w:t>
            </w:r>
          </w:p>
        </w:tc>
      </w:tr>
      <w:tr>
        <w:trPr>
          <w:trHeight w:val="25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debt</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381,074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378,450</w:t>
            </w:r>
          </w:p>
        </w:tc>
      </w:tr>
      <w:tr>
        <w:trPr>
          <w:trHeight w:val="188"/>
        </w:trPr>
        <w:tc>
          <w:tcPr>
            <w:tcW w:w="6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Compound bifurcated derivative liability</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
        </w:trPr>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540" w:right="2520" w:hanging="246"/>
        <w:spacing w:after="0" w:line="514" w:lineRule="auto"/>
        <w:tabs>
          <w:tab w:leader="none" w:pos="45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debt discounts of $28.3 million associated with the initial carrying value of compound bifurcated derivative liability. Maturities of the Company’s debt are expected to be as follows as of March 31, 2026:</w:t>
      </w:r>
    </w:p>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8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Amount</w:t>
            </w:r>
          </w:p>
        </w:tc>
      </w:tr>
      <w:tr>
        <w:trPr>
          <w:trHeight w:val="221"/>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jc w:val="right"/>
              <w:ind w:right="243"/>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Years Ending December 31,</w:t>
            </w:r>
          </w:p>
        </w:tc>
        <w:tc>
          <w:tcPr>
            <w:tcW w:w="2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5"/>
                <w:szCs w:val="15"/>
                <w:color w:val="auto"/>
              </w:rPr>
              <w:t>Remainder of 2026</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2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2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320" w:type="dxa"/>
            <w:vAlign w:val="bottom"/>
          </w:tcPr>
          <w:p>
            <w:pPr>
              <w:ind w:left="20"/>
              <w:spacing w:after="0"/>
              <w:rPr>
                <w:sz w:val="20"/>
                <w:szCs w:val="20"/>
                <w:color w:val="auto"/>
              </w:rPr>
            </w:pPr>
            <w:r>
              <w:rPr>
                <w:rFonts w:ascii="Arial" w:cs="Arial" w:eastAsia="Arial" w:hAnsi="Arial"/>
                <w:sz w:val="15"/>
                <w:szCs w:val="15"/>
                <w:color w:val="auto"/>
              </w:rPr>
              <w:t>2028</w:t>
            </w:r>
          </w:p>
        </w:tc>
        <w:tc>
          <w:tcPr>
            <w:tcW w:w="2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400,000</w:t>
            </w:r>
          </w:p>
        </w:tc>
      </w:tr>
    </w:tbl>
    <w:p>
      <w:pPr>
        <w:spacing w:after="0" w:line="236" w:lineRule="exact"/>
        <w:rPr>
          <w:sz w:val="20"/>
          <w:szCs w:val="20"/>
          <w:color w:val="auto"/>
        </w:rPr>
      </w:pPr>
    </w:p>
    <w:p>
      <w:pPr>
        <w:ind w:right="80" w:firstLine="551"/>
        <w:spacing w:after="0" w:line="294" w:lineRule="auto"/>
        <w:rPr>
          <w:sz w:val="20"/>
          <w:szCs w:val="20"/>
          <w:color w:val="auto"/>
        </w:rPr>
      </w:pPr>
      <w:r>
        <w:rPr>
          <w:rFonts w:ascii="Arial" w:cs="Arial" w:eastAsia="Arial" w:hAnsi="Arial"/>
          <w:sz w:val="15"/>
          <w:szCs w:val="15"/>
          <w:color w:val="auto"/>
        </w:rPr>
        <w:t xml:space="preserve">On April 1, 2026, the Company fully repaid the 2023 Term Loan (as defined below) maturing in 2028, and entered into a new credit agreement with a different lender. See </w:t>
      </w:r>
      <w:r>
        <w:rPr>
          <w:rFonts w:ascii="Arial" w:cs="Arial" w:eastAsia="Arial" w:hAnsi="Arial"/>
          <w:sz w:val="15"/>
          <w:szCs w:val="15"/>
          <w:u w:val="single" w:color="auto"/>
          <w:color w:val="0000FF"/>
        </w:rPr>
        <w:t>Note 11</w:t>
      </w:r>
      <w:r>
        <w:rPr>
          <w:rFonts w:ascii="Arial" w:cs="Arial" w:eastAsia="Arial" w:hAnsi="Arial"/>
          <w:sz w:val="15"/>
          <w:szCs w:val="15"/>
          <w:color w:val="auto"/>
        </w:rPr>
        <w:t xml:space="preserve"> for additional details.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 Loan</w:t>
      </w:r>
    </w:p>
    <w:p>
      <w:pPr>
        <w:spacing w:after="0" w:line="172" w:lineRule="exact"/>
        <w:rPr>
          <w:sz w:val="20"/>
          <w:szCs w:val="20"/>
          <w:color w:val="auto"/>
        </w:rPr>
      </w:pPr>
    </w:p>
    <w:p>
      <w:pPr>
        <w:ind w:firstLine="551"/>
        <w:spacing w:after="0" w:line="265" w:lineRule="auto"/>
        <w:rPr>
          <w:sz w:val="20"/>
          <w:szCs w:val="20"/>
          <w:color w:val="auto"/>
        </w:rPr>
      </w:pPr>
      <w:r>
        <w:rPr>
          <w:rFonts w:ascii="Arial" w:cs="Arial" w:eastAsia="Arial" w:hAnsi="Arial"/>
          <w:sz w:val="15"/>
          <w:szCs w:val="15"/>
          <w:color w:val="auto"/>
        </w:rPr>
        <w:t>On January 18, 2023, the Company entered into the 2023 Term Loan Agreement with OrbiMed Royalty &amp; Credit Opportunities III, LP, OrbiMed Royalty &amp; Credit Opportunities IV, LP (collectively, “OrbiMed”), and Braidwell Transaction Holdings LLC (“Braidwell”, and collectively with OrbiMed, the “2023 Lenders”). Pursuant to the 2023 Term Loan Agreement, the Company issued senior, secured promissory notes by which the 2023 Lenders agree to lend the Company up to an aggregate principal amount of $400.0 million (the “2023 Term Loan”), $ 200.0 million of which was received by the Company upon issuance (the “Initial Draw”), and the remaining $200.0 million was received by the Company in March 2024 (the “Delayed Draw”).</w:t>
      </w:r>
    </w:p>
    <w:p>
      <w:pPr>
        <w:spacing w:after="0" w:line="116" w:lineRule="exact"/>
        <w:rPr>
          <w:sz w:val="20"/>
          <w:szCs w:val="20"/>
          <w:color w:val="auto"/>
        </w:rPr>
      </w:pPr>
    </w:p>
    <w:p>
      <w:pPr>
        <w:ind w:right="40" w:firstLine="551"/>
        <w:spacing w:after="0" w:line="263" w:lineRule="auto"/>
        <w:rPr>
          <w:sz w:val="20"/>
          <w:szCs w:val="20"/>
          <w:color w:val="auto"/>
        </w:rPr>
      </w:pPr>
      <w:r>
        <w:rPr>
          <w:rFonts w:ascii="Arial" w:cs="Arial" w:eastAsia="Arial" w:hAnsi="Arial"/>
          <w:sz w:val="15"/>
          <w:szCs w:val="15"/>
          <w:color w:val="auto"/>
        </w:rPr>
        <w:t>Until the earlier of December 31, 2024 or the date on which the 2023 Term Loan amount was fully drawn, which occurred on March 5, 2024, the undrawn balance of the 2023 Term Loan Agreement was subject to a fee of 0.5% per annum. The outstanding principal amount of the 2023 Term Loan is due and payable on January 18, 2028. If an event of default occurs and is continuing, the 2023 Lenders may declare all amounts outstanding under the 2023 Term Loan Agreement to be immediately due and payable. A final payment exit fee equal to 1.0% of the amount funded under the 2023 Term Loan Agreement is due upon prepayment or maturity. Amounts borrowed pursuant to the 2023 Term Loan Agreement may be prepaid at any time. Upon prepayment, the Company is subject to a prepayment penalty based on the timing of repayment.</w:t>
      </w:r>
    </w:p>
    <w:p>
      <w:pPr>
        <w:spacing w:after="0" w:line="118" w:lineRule="exact"/>
        <w:rPr>
          <w:sz w:val="20"/>
          <w:szCs w:val="20"/>
          <w:color w:val="auto"/>
        </w:rPr>
      </w:pPr>
    </w:p>
    <w:p>
      <w:pPr>
        <w:ind w:right="80" w:firstLine="551"/>
        <w:spacing w:after="0" w:line="275" w:lineRule="auto"/>
        <w:rPr>
          <w:sz w:val="20"/>
          <w:szCs w:val="20"/>
          <w:color w:val="auto"/>
        </w:rPr>
      </w:pPr>
      <w:r>
        <w:rPr>
          <w:rFonts w:ascii="Arial" w:cs="Arial" w:eastAsia="Arial" w:hAnsi="Arial"/>
          <w:sz w:val="15"/>
          <w:szCs w:val="15"/>
          <w:color w:val="auto"/>
        </w:rPr>
        <w:t>The 2023 Term Loan bears interest at a rate per annum equal to a fixed margin of 6.5% plus the greater of (a) forward-looking three-month secured overnight financing rate (“SOFR”) and (b) 2.5%. In the event of default, the fixed margin shall increase by 3.0% per annum. As of March 31, 2026, the interest rate was 10.2%. Regular quarterly payments are interest-only for the 60-month term of the 2023 Term Loan Agreement, with the principal due at maturity.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effective interest rate for the Initial Draw of the 2023 Term Loan is 17.0%, and the effective interest rate for the Delayed Draw of the 2023 Term Loan is 12.0%.</w:t>
      </w:r>
    </w:p>
    <w:p>
      <w:pPr>
        <w:spacing w:after="0" w:line="161" w:lineRule="exact"/>
        <w:rPr>
          <w:sz w:val="20"/>
          <w:szCs w:val="20"/>
          <w:color w:val="auto"/>
        </w:rPr>
      </w:pPr>
    </w:p>
    <w:p>
      <w:pPr>
        <w:ind w:firstLine="551"/>
        <w:spacing w:after="0" w:line="265" w:lineRule="auto"/>
        <w:rPr>
          <w:sz w:val="20"/>
          <w:szCs w:val="20"/>
          <w:color w:val="auto"/>
        </w:rPr>
      </w:pPr>
      <w:r>
        <w:rPr>
          <w:rFonts w:ascii="Arial" w:cs="Arial" w:eastAsia="Arial" w:hAnsi="Arial"/>
          <w:sz w:val="15"/>
          <w:szCs w:val="15"/>
          <w:color w:val="auto"/>
        </w:rPr>
        <w:t>The Company’s obligations under the 2023 Term Loan Agreement are secured by a first lien security interest in substantially all of the assets of the Company and its subsidiaries. The 2023 Term Loan Agreement contains certain customary representations and warranties, affirmative and negative covenants, financial covenants, and events of default applicable to the Company and its subsidiaries. Additional covenants include those restricting dispositions, fundamental changes to its business, mergers or acquisitions, indebtedness, encumbrances, distributions, investments, transactions with affiliates and subordinated debt. At March 31, 2026, the Company was in compliance with all covenants.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components of interest expense associated with the Company’s long-term indebtedness, excluding finance leases, are as follows:</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7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bottom w:val="single" w:sz="8" w:color="auto"/>
            </w:tcBorders>
          </w:tcPr>
          <w:p>
            <w:pPr>
              <w:spacing w:after="0"/>
              <w:rPr>
                <w:sz w:val="19"/>
                <w:szCs w:val="19"/>
                <w:color w:val="auto"/>
              </w:rPr>
            </w:pPr>
          </w:p>
        </w:tc>
      </w:tr>
      <w:tr>
        <w:trPr>
          <w:trHeight w:val="256"/>
        </w:trPr>
        <w:tc>
          <w:tcPr>
            <w:tcW w:w="7400" w:type="dxa"/>
            <w:vAlign w:val="bottom"/>
          </w:tcPr>
          <w:p>
            <w:pPr>
              <w:spacing w:after="0"/>
              <w:rPr>
                <w:sz w:val="22"/>
                <w:szCs w:val="22"/>
                <w:color w:val="auto"/>
              </w:rPr>
            </w:pPr>
          </w:p>
        </w:tc>
        <w:tc>
          <w:tcPr>
            <w:tcW w:w="2680" w:type="dxa"/>
            <w:vAlign w:val="bottom"/>
            <w:gridSpan w:val="4"/>
          </w:tcPr>
          <w:p>
            <w:pPr>
              <w:jc w:val="right"/>
              <w:ind w:right="103"/>
              <w:spacing w:after="0"/>
              <w:rPr>
                <w:sz w:val="20"/>
                <w:szCs w:val="20"/>
                <w:color w:val="auto"/>
              </w:rPr>
            </w:pPr>
            <w:r>
              <w:rPr>
                <w:rFonts w:ascii="Arial" w:cs="Arial" w:eastAsia="Arial" w:hAnsi="Arial"/>
                <w:sz w:val="15"/>
                <w:szCs w:val="15"/>
                <w:b w:val="1"/>
                <w:bCs w:val="1"/>
                <w:color w:val="auto"/>
              </w:rPr>
              <w:t>(amounts in thousands)</w:t>
            </w:r>
          </w:p>
        </w:tc>
        <w:tc>
          <w:tcPr>
            <w:tcW w:w="580" w:type="dxa"/>
            <w:vAlign w:val="bottom"/>
          </w:tcPr>
          <w:p>
            <w:pPr>
              <w:spacing w:after="0"/>
              <w:rPr>
                <w:sz w:val="22"/>
                <w:szCs w:val="22"/>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Debt discount amortization</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2,624</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1,945</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Interest expense</w:t>
            </w:r>
          </w:p>
        </w:tc>
        <w:tc>
          <w:tcPr>
            <w:tcW w:w="100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10,172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10,829</w:t>
            </w: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6"/>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expense on long-term indebtedness, excluding finance leases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12,796</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12,774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Commitments and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Purchase Obligations</w:t>
      </w:r>
    </w:p>
    <w:p>
      <w:pPr>
        <w:spacing w:after="0" w:line="161" w:lineRule="exact"/>
        <w:rPr>
          <w:sz w:val="20"/>
          <w:szCs w:val="20"/>
          <w:color w:val="auto"/>
        </w:rPr>
      </w:pPr>
    </w:p>
    <w:p>
      <w:pPr>
        <w:ind w:right="80" w:firstLine="551"/>
        <w:spacing w:after="0" w:line="294" w:lineRule="auto"/>
        <w:rPr>
          <w:sz w:val="20"/>
          <w:szCs w:val="20"/>
          <w:color w:val="auto"/>
        </w:rPr>
      </w:pPr>
      <w:r>
        <w:rPr>
          <w:rFonts w:ascii="Arial" w:cs="Arial" w:eastAsia="Arial" w:hAnsi="Arial"/>
          <w:sz w:val="15"/>
          <w:szCs w:val="15"/>
          <w:color w:val="auto"/>
        </w:rPr>
        <w:t>The Company enters into various supply agreements that contains purchase commitments. Most of the commitments are based on a binding forecast for an agreed-upon period, which is 12-month or less.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w:t>
      </w:r>
    </w:p>
    <w:p>
      <w:pPr>
        <w:spacing w:after="0" w:line="172" w:lineRule="exact"/>
        <w:rPr>
          <w:sz w:val="20"/>
          <w:szCs w:val="20"/>
          <w:color w:val="auto"/>
        </w:rPr>
      </w:pPr>
    </w:p>
    <w:p>
      <w:pPr>
        <w:jc w:val="both"/>
        <w:ind w:right="220" w:firstLine="551"/>
        <w:spacing w:after="0" w:line="268" w:lineRule="auto"/>
        <w:rPr>
          <w:sz w:val="20"/>
          <w:szCs w:val="20"/>
          <w:color w:val="auto"/>
        </w:rPr>
      </w:pPr>
      <w:r>
        <w:rPr>
          <w:rFonts w:ascii="Arial" w:cs="Arial" w:eastAsia="Arial" w:hAnsi="Arial"/>
          <w:sz w:val="15"/>
          <w:szCs w:val="15"/>
          <w:color w:val="auto"/>
        </w:rPr>
        <w:t>During the ordinary course of business, the Company has become and may in the future become subject to pending and threatened legal and regulatory actions and proceedings. While it is not feasible to predict or determine the ultimate outcome of these matters, the Company believes that none of its current legal proceedings are likely to have a material adverse effect on its financial position as of March 31, 2026 and December 31, 2025, nor its results of operations or cash flows for the three months ended March 31, 2026 and 2025.</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Related Parties</w:t>
      </w:r>
    </w:p>
    <w:p>
      <w:pPr>
        <w:spacing w:after="0" w:line="163" w:lineRule="exact"/>
        <w:rPr>
          <w:sz w:val="20"/>
          <w:szCs w:val="20"/>
          <w:color w:val="auto"/>
        </w:rPr>
      </w:pPr>
    </w:p>
    <w:p>
      <w:pPr>
        <w:ind w:right="60" w:firstLine="551"/>
        <w:spacing w:after="0" w:line="294" w:lineRule="auto"/>
        <w:rPr>
          <w:sz w:val="20"/>
          <w:szCs w:val="20"/>
          <w:color w:val="auto"/>
        </w:rPr>
      </w:pPr>
      <w:r>
        <w:rPr>
          <w:rFonts w:ascii="Arial" w:cs="Arial" w:eastAsia="Arial" w:hAnsi="Arial"/>
          <w:sz w:val="15"/>
          <w:szCs w:val="15"/>
          <w:color w:val="auto"/>
        </w:rPr>
        <w:t>The Company's officers and directors have ownership interests in certain vendors providing services to the Company. During the three months ended March 31, 2026 and 2025, the Company made payments to these entities for services and expenses for $0.8 million and $0.7 million, respectively.</w:t>
      </w:r>
    </w:p>
    <w:p>
      <w:pPr>
        <w:spacing w:after="0" w:line="106" w:lineRule="exact"/>
        <w:rPr>
          <w:sz w:val="20"/>
          <w:szCs w:val="20"/>
          <w:color w:val="auto"/>
        </w:rPr>
      </w:pPr>
    </w:p>
    <w:p>
      <w:pPr>
        <w:ind w:right="60" w:firstLine="551"/>
        <w:spacing w:after="0" w:line="294" w:lineRule="auto"/>
        <w:rPr>
          <w:sz w:val="20"/>
          <w:szCs w:val="20"/>
          <w:color w:val="auto"/>
        </w:rPr>
      </w:pPr>
      <w:r>
        <w:rPr>
          <w:rFonts w:ascii="Arial" w:cs="Arial" w:eastAsia="Arial" w:hAnsi="Arial"/>
          <w:sz w:val="15"/>
          <w:szCs w:val="15"/>
          <w:color w:val="auto"/>
        </w:rPr>
        <w:t>Additionally, during the three months ended March 31, 2026 and 2025, the Company recorded general and administrative expenses due to related parties of $1.0 million and $0.5 million, respectively.</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Net Loss Per Share Attributable to Common Shareholders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the computation of the basic and diluted net loss per share attributable to common shareholders: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3"/>
        </w:trPr>
        <w:tc>
          <w:tcPr>
            <w:tcW w:w="7400" w:type="dxa"/>
            <w:vAlign w:val="bottom"/>
          </w:tcPr>
          <w:p>
            <w:pPr>
              <w:spacing w:after="0"/>
              <w:rPr>
                <w:sz w:val="20"/>
                <w:szCs w:val="20"/>
                <w:color w:val="auto"/>
              </w:rPr>
            </w:pPr>
            <w:r>
              <w:rPr>
                <w:rFonts w:ascii="Arial" w:cs="Arial" w:eastAsia="Arial" w:hAnsi="Arial"/>
                <w:sz w:val="15"/>
                <w:szCs w:val="15"/>
                <w:b w:val="1"/>
                <w:bCs w:val="1"/>
                <w:color w:val="auto"/>
              </w:rPr>
              <w:t>(amounts in thousands, except share and per share data)</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2025</w:t>
            </w:r>
          </w:p>
        </w:tc>
      </w:tr>
      <w:tr>
        <w:trPr>
          <w:trHeight w:val="216"/>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(102,581)</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Adjustments of redeemable convertible preferred stock to redemption value</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(24,462)</w:t>
            </w: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5"/>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attributable to common shareholders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(127,043)</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8"/>
        </w:trPr>
        <w:tc>
          <w:tcPr>
            <w:tcW w:w="7400" w:type="dxa"/>
            <w:vAlign w:val="bottom"/>
          </w:tcPr>
          <w:p>
            <w:pPr>
              <w:spacing w:after="0"/>
              <w:rPr>
                <w:sz w:val="20"/>
                <w:szCs w:val="20"/>
                <w:color w:val="auto"/>
              </w:rPr>
            </w:pPr>
            <w:r>
              <w:rPr>
                <w:rFonts w:ascii="Arial" w:cs="Arial" w:eastAsia="Arial" w:hAnsi="Arial"/>
                <w:sz w:val="15"/>
                <w:szCs w:val="15"/>
                <w:color w:val="auto"/>
              </w:rPr>
              <w:t>Net loss per share attributable to common shareholders, basic and diluted</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0.00</w:t>
            </w:r>
          </w:p>
        </w:tc>
        <w:tc>
          <w:tcPr>
            <w:tcW w:w="8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21"/>
        </w:trPr>
        <w:tc>
          <w:tcPr>
            <w:tcW w:w="7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74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shares used in computing net loss per share attributable to common shareholders, basic</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1"/>
        </w:trPr>
        <w:tc>
          <w:tcPr>
            <w:tcW w:w="7400" w:type="dxa"/>
            <w:vAlign w:val="bottom"/>
            <w:shd w:val="clear" w:color="auto" w:fill="CCEEFF"/>
          </w:tcPr>
          <w:p>
            <w:pPr>
              <w:spacing w:after="0"/>
              <w:rPr>
                <w:sz w:val="20"/>
                <w:szCs w:val="20"/>
                <w:color w:val="auto"/>
              </w:rPr>
            </w:pPr>
            <w:r>
              <w:rPr>
                <w:rFonts w:ascii="Arial" w:cs="Arial" w:eastAsia="Arial" w:hAnsi="Arial"/>
                <w:sz w:val="15"/>
                <w:szCs w:val="15"/>
                <w:color w:val="auto"/>
              </w:rPr>
              <w:t>and diluted</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282,562,013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35,623,042</w:t>
            </w:r>
          </w:p>
        </w:tc>
      </w:tr>
      <w:tr>
        <w:trPr>
          <w:trHeight w:val="21"/>
        </w:trPr>
        <w:tc>
          <w:tcPr>
            <w:tcW w:w="7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right="60" w:firstLine="551"/>
        <w:spacing w:after="0" w:line="294" w:lineRule="auto"/>
        <w:rPr>
          <w:sz w:val="20"/>
          <w:szCs w:val="20"/>
          <w:color w:val="auto"/>
        </w:rPr>
      </w:pPr>
      <w:r>
        <w:rPr>
          <w:rFonts w:ascii="Arial" w:cs="Arial" w:eastAsia="Arial" w:hAnsi="Arial"/>
          <w:sz w:val="15"/>
          <w:szCs w:val="15"/>
          <w:color w:val="auto"/>
        </w:rPr>
        <w:t>The following common stock equivalents were excluded from the calculation of diluted net loss per share attributable to common shareholders for the periods presented as they had an anti-dilutive effect:</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26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7400" w:type="dxa"/>
            <w:vAlign w:val="bottom"/>
          </w:tcPr>
          <w:p>
            <w:pPr>
              <w:spacing w:after="0"/>
              <w:rPr>
                <w:sz w:val="19"/>
                <w:szCs w:val="19"/>
                <w:color w:val="auto"/>
              </w:rPr>
            </w:pPr>
          </w:p>
        </w:tc>
        <w:tc>
          <w:tcPr>
            <w:tcW w:w="16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2025</w:t>
            </w:r>
          </w:p>
        </w:tc>
      </w:tr>
      <w:tr>
        <w:trPr>
          <w:trHeight w:val="170"/>
        </w:trPr>
        <w:tc>
          <w:tcPr>
            <w:tcW w:w="7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Series A preferred stock</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121,448,823</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Series B preferred stock</w:t>
            </w:r>
          </w:p>
        </w:tc>
        <w:tc>
          <w:tcPr>
            <w:tcW w:w="1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7,407,408</w:t>
            </w:r>
          </w:p>
        </w:tc>
      </w:tr>
      <w:tr>
        <w:trPr>
          <w:trHeight w:val="21"/>
        </w:trPr>
        <w:tc>
          <w:tcPr>
            <w:tcW w:w="7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Series C preferred stock</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29,050,209</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Series D preferred stock</w:t>
            </w:r>
          </w:p>
        </w:tc>
        <w:tc>
          <w:tcPr>
            <w:tcW w:w="1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25,629,071</w:t>
            </w:r>
          </w:p>
        </w:tc>
      </w:tr>
      <w:tr>
        <w:trPr>
          <w:trHeight w:val="21"/>
        </w:trPr>
        <w:tc>
          <w:tcPr>
            <w:tcW w:w="7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warrants</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6,273,609</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Unvested RSUs and PSUs</w:t>
            </w: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9,271,540</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1,284,540</w:t>
            </w:r>
          </w:p>
        </w:tc>
      </w:tr>
      <w:tr>
        <w:trPr>
          <w:trHeight w:val="21"/>
        </w:trPr>
        <w:tc>
          <w:tcPr>
            <w:tcW w:w="7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stock options</w:t>
            </w:r>
          </w:p>
        </w:tc>
        <w:tc>
          <w:tcPr>
            <w:tcW w:w="1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21,660,302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24,113,482</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Shares committed under ESPP</w:t>
            </w: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146,450</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7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Unvested shares subject to repurchase</w:t>
            </w:r>
          </w:p>
        </w:tc>
        <w:tc>
          <w:tcPr>
            <w:tcW w:w="1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23,446</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43,603</w:t>
            </w:r>
          </w:p>
        </w:tc>
      </w:tr>
      <w:tr>
        <w:trPr>
          <w:trHeight w:val="216"/>
        </w:trPr>
        <w:tc>
          <w:tcPr>
            <w:tcW w:w="7400" w:type="dxa"/>
            <w:vAlign w:val="bottom"/>
          </w:tcPr>
          <w:p>
            <w:pPr>
              <w:spacing w:after="0"/>
              <w:rPr>
                <w:sz w:val="20"/>
                <w:szCs w:val="20"/>
                <w:color w:val="auto"/>
              </w:rPr>
            </w:pPr>
            <w:r>
              <w:rPr>
                <w:rFonts w:ascii="Arial" w:cs="Arial" w:eastAsia="Arial" w:hAnsi="Arial"/>
                <w:sz w:val="15"/>
                <w:szCs w:val="15"/>
                <w:color w:val="auto"/>
              </w:rPr>
              <w:t>Total</w:t>
            </w:r>
          </w:p>
        </w:tc>
        <w:tc>
          <w:tcPr>
            <w:tcW w:w="1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31,101,738</w:t>
            </w: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215,250,745</w:t>
            </w:r>
          </w:p>
        </w:tc>
      </w:tr>
      <w:tr>
        <w:trPr>
          <w:trHeight w:val="20"/>
        </w:trPr>
        <w:tc>
          <w:tcPr>
            <w:tcW w:w="7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Segment and Geographic Information</w:t>
      </w:r>
    </w:p>
    <w:p>
      <w:pPr>
        <w:spacing w:after="0" w:line="163" w:lineRule="exact"/>
        <w:rPr>
          <w:sz w:val="20"/>
          <w:szCs w:val="20"/>
          <w:color w:val="auto"/>
        </w:rPr>
      </w:pPr>
    </w:p>
    <w:p>
      <w:pPr>
        <w:ind w:firstLine="551"/>
        <w:spacing w:after="0" w:line="268" w:lineRule="auto"/>
        <w:rPr>
          <w:sz w:val="20"/>
          <w:szCs w:val="20"/>
          <w:color w:val="auto"/>
        </w:rPr>
      </w:pPr>
      <w:r>
        <w:rPr>
          <w:rFonts w:ascii="Arial" w:cs="Arial" w:eastAsia="Arial" w:hAnsi="Arial"/>
          <w:sz w:val="15"/>
          <w:szCs w:val="15"/>
          <w:color w:val="auto"/>
        </w:rPr>
        <w:t>The Company operates as a single operating segment. An operating segment is defined as a component of an entity for which discrete financial information is available and regularly reviewed by the entity's chief operating decision maker (“CODM”) in deciding how to allocate resources and in assessing performance. The Company’s CODM, its Chairman and Chief Executive Officer, manages the Company’s operations on a consolidated basis for the purposes of allocating resources, making operating decisions and evaluating financial performance.</w:t>
      </w:r>
    </w:p>
    <w:p>
      <w:pPr>
        <w:spacing w:after="0" w:line="125" w:lineRule="exact"/>
        <w:rPr>
          <w:sz w:val="20"/>
          <w:szCs w:val="20"/>
          <w:color w:val="auto"/>
        </w:rPr>
      </w:pPr>
    </w:p>
    <w:p>
      <w:pPr>
        <w:ind w:right="20" w:firstLine="551"/>
        <w:spacing w:after="0" w:line="294" w:lineRule="auto"/>
        <w:rPr>
          <w:sz w:val="20"/>
          <w:szCs w:val="20"/>
          <w:color w:val="auto"/>
        </w:rPr>
      </w:pPr>
      <w:r>
        <w:rPr>
          <w:rFonts w:ascii="Arial" w:cs="Arial" w:eastAsia="Arial" w:hAnsi="Arial"/>
          <w:sz w:val="15"/>
          <w:szCs w:val="15"/>
          <w:color w:val="auto"/>
        </w:rPr>
        <w:t>Net loss as reported on the condensed consolidated statements of operations and comprehensive loss is used by the CODM to assess segment performance against management budgets and prior period operating results for the purpose of making results-driven decisions about organizational resource allocation.</w:t>
      </w:r>
    </w:p>
    <w:p>
      <w:pPr>
        <w:spacing w:after="0" w:line="94" w:lineRule="exact"/>
        <w:rPr>
          <w:sz w:val="20"/>
          <w:szCs w:val="20"/>
          <w:color w:val="auto"/>
        </w:rPr>
      </w:pPr>
    </w:p>
    <w:p>
      <w:pPr>
        <w:jc w:val="both"/>
        <w:ind w:right="320" w:firstLine="551"/>
        <w:spacing w:after="0" w:line="275" w:lineRule="auto"/>
        <w:rPr>
          <w:sz w:val="20"/>
          <w:szCs w:val="20"/>
          <w:color w:val="auto"/>
        </w:rPr>
      </w:pPr>
      <w:r>
        <w:rPr>
          <w:rFonts w:ascii="Arial" w:cs="Arial" w:eastAsia="Arial" w:hAnsi="Arial"/>
          <w:sz w:val="15"/>
          <w:szCs w:val="15"/>
          <w:color w:val="auto"/>
        </w:rPr>
        <w:t>Segment revenues are derived from molecular profiling, strategic data, and research services that are delivered to the Company’s biopharmaceutical and clinical customers, who are predominantly located in the United States. The Company provides these services primarily by leveraging the Company’s proprietary technologies and clinico-genomic database, which are core to the Company’s operations and are deployed similarly across the service offerings.</w:t>
      </w:r>
    </w:p>
    <w:p>
      <w:pPr>
        <w:spacing w:after="0" w:line="108" w:lineRule="exact"/>
        <w:rPr>
          <w:sz w:val="20"/>
          <w:szCs w:val="20"/>
          <w:color w:val="auto"/>
        </w:rPr>
      </w:pPr>
    </w:p>
    <w:p>
      <w:pPr>
        <w:ind w:right="60" w:firstLine="551"/>
        <w:spacing w:after="0" w:line="268" w:lineRule="auto"/>
        <w:rPr>
          <w:sz w:val="20"/>
          <w:szCs w:val="20"/>
          <w:color w:val="auto"/>
        </w:rPr>
      </w:pPr>
      <w:r>
        <w:rPr>
          <w:rFonts w:ascii="Arial" w:cs="Arial" w:eastAsia="Arial" w:hAnsi="Arial"/>
          <w:sz w:val="15"/>
          <w:szCs w:val="15"/>
          <w:color w:val="auto"/>
        </w:rPr>
        <w:t>Significant segment expenses that the CODM reviews and utilizes to manage the Company’s operations are cost of services, sales and marketing, general and administrative, and research and development expenses at the consolidated level, which are presented in the Company’s condensed consolidated statements of operations and comprehensive loss. Other segment items in consolidated net loss include interest income, interest expense, changes in fair value of financial instruments, and other income (expense), net, which are presented in the Company’s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3" w:name="page24"/>
    <w:bookmarkEnd w:id="23"/>
    <w:p>
      <w:pPr>
        <w:ind w:left="8"/>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48"/>
        <w:spacing w:after="0"/>
        <w:rPr>
          <w:sz w:val="20"/>
          <w:szCs w:val="20"/>
          <w:color w:val="auto"/>
        </w:rPr>
      </w:pPr>
      <w:r>
        <w:rPr>
          <w:rFonts w:ascii="Arial" w:cs="Arial" w:eastAsia="Arial" w:hAnsi="Arial"/>
          <w:sz w:val="15"/>
          <w:szCs w:val="15"/>
          <w:color w:val="auto"/>
        </w:rPr>
        <w:t>The following table sets forth the Company’s revenue by geographic areas based on the customer’s location:</w:t>
      </w:r>
    </w:p>
    <w:p>
      <w:pPr>
        <w:spacing w:after="0" w:line="204" w:lineRule="exact"/>
        <w:rPr>
          <w:sz w:val="20"/>
          <w:szCs w:val="20"/>
          <w:color w:val="auto"/>
        </w:rPr>
      </w:pPr>
    </w:p>
    <w:tbl>
      <w:tblPr>
        <w:tblLayout w:type="fixed"/>
        <w:tblInd w:w="308"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7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bottom w:val="single" w:sz="8" w:color="auto"/>
            </w:tcBorders>
          </w:tcPr>
          <w:p>
            <w:pPr>
              <w:spacing w:after="0"/>
              <w:rPr>
                <w:sz w:val="19"/>
                <w:szCs w:val="19"/>
                <w:color w:val="auto"/>
              </w:rPr>
            </w:pPr>
          </w:p>
        </w:tc>
      </w:tr>
      <w:tr>
        <w:trPr>
          <w:trHeight w:val="256"/>
        </w:trPr>
        <w:tc>
          <w:tcPr>
            <w:tcW w:w="7400" w:type="dxa"/>
            <w:vAlign w:val="bottom"/>
          </w:tcPr>
          <w:p>
            <w:pPr>
              <w:spacing w:after="0"/>
              <w:rPr>
                <w:sz w:val="22"/>
                <w:szCs w:val="22"/>
                <w:color w:val="auto"/>
              </w:rPr>
            </w:pPr>
          </w:p>
        </w:tc>
        <w:tc>
          <w:tcPr>
            <w:tcW w:w="2640" w:type="dxa"/>
            <w:vAlign w:val="bottom"/>
            <w:gridSpan w:val="4"/>
          </w:tcPr>
          <w:p>
            <w:pPr>
              <w:jc w:val="right"/>
              <w:ind w:right="63"/>
              <w:spacing w:after="0"/>
              <w:rPr>
                <w:sz w:val="20"/>
                <w:szCs w:val="20"/>
                <w:color w:val="auto"/>
              </w:rPr>
            </w:pPr>
            <w:r>
              <w:rPr>
                <w:rFonts w:ascii="Arial" w:cs="Arial" w:eastAsia="Arial" w:hAnsi="Arial"/>
                <w:sz w:val="15"/>
                <w:szCs w:val="15"/>
                <w:b w:val="1"/>
                <w:bCs w:val="1"/>
                <w:color w:val="auto"/>
              </w:rPr>
              <w:t>(amounts in thousands)</w:t>
            </w:r>
          </w:p>
        </w:tc>
        <w:tc>
          <w:tcPr>
            <w:tcW w:w="620" w:type="dxa"/>
            <w:vAlign w:val="bottom"/>
          </w:tcPr>
          <w:p>
            <w:pPr>
              <w:spacing w:after="0"/>
              <w:rPr>
                <w:sz w:val="22"/>
                <w:szCs w:val="22"/>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United States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9"/>
              </w:rPr>
              <w:t>213,836</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118,432</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International</w:t>
            </w:r>
          </w:p>
        </w:tc>
        <w:tc>
          <w:tcPr>
            <w:tcW w:w="96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2,338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2,483</w:t>
            </w: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9"/>
              </w:rPr>
              <w:t>216,174</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120,915</w:t>
            </w:r>
          </w:p>
        </w:tc>
      </w:tr>
      <w:tr>
        <w:trPr>
          <w:trHeight w:val="20"/>
        </w:trPr>
        <w:tc>
          <w:tcPr>
            <w:tcW w:w="7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 w:right="120" w:firstLine="551"/>
        <w:spacing w:after="0" w:line="294" w:lineRule="auto"/>
        <w:rPr>
          <w:sz w:val="20"/>
          <w:szCs w:val="20"/>
          <w:color w:val="auto"/>
        </w:rPr>
      </w:pPr>
      <w:r>
        <w:rPr>
          <w:rFonts w:ascii="Arial" w:cs="Arial" w:eastAsia="Arial" w:hAnsi="Arial"/>
          <w:sz w:val="15"/>
          <w:szCs w:val="15"/>
          <w:color w:val="auto"/>
        </w:rPr>
        <w:t>No single country outside of the United States accounted for more than 10.0% of total revenue during the three months ended March 31, 2026 and 2025. As of March 31, 2026 and December 31, 2025, approximately 99.0% of the Company’s total assets are located in the United States.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Note 11. Subsequent Events</w:t>
      </w:r>
    </w:p>
    <w:p>
      <w:pPr>
        <w:spacing w:after="0" w:line="163" w:lineRule="exact"/>
        <w:rPr>
          <w:sz w:val="20"/>
          <w:szCs w:val="20"/>
          <w:color w:val="auto"/>
        </w:rPr>
      </w:pPr>
    </w:p>
    <w:p>
      <w:pPr>
        <w:ind w:left="548"/>
        <w:spacing w:after="0"/>
        <w:rPr>
          <w:sz w:val="20"/>
          <w:szCs w:val="20"/>
          <w:color w:val="auto"/>
        </w:rPr>
      </w:pPr>
      <w:r>
        <w:rPr>
          <w:rFonts w:ascii="Arial" w:cs="Arial" w:eastAsia="Arial" w:hAnsi="Arial"/>
          <w:sz w:val="15"/>
          <w:szCs w:val="15"/>
          <w:color w:val="auto"/>
        </w:rPr>
        <w:t>On April 1, 2026, the Company entered into a financing agreement (the “2026 Financing Agreement”) providing for senior secured credit facilities consisting of</w:t>
      </w:r>
    </w:p>
    <w:p>
      <w:pPr>
        <w:spacing w:after="0" w:line="25" w:lineRule="exact"/>
        <w:rPr>
          <w:sz w:val="20"/>
          <w:szCs w:val="20"/>
          <w:color w:val="auto"/>
        </w:rPr>
      </w:pPr>
    </w:p>
    <w:p>
      <w:pPr>
        <w:ind w:left="8" w:right="80" w:hanging="8"/>
        <w:spacing w:after="0" w:line="259" w:lineRule="auto"/>
        <w:tabs>
          <w:tab w:leader="none" w:pos="187" w:val="left"/>
        </w:tabs>
        <w:numPr>
          <w:ilvl w:val="0"/>
          <w:numId w:val="9"/>
        </w:numPr>
        <w:rPr>
          <w:rFonts w:ascii="Arial" w:cs="Arial" w:eastAsia="Arial" w:hAnsi="Arial"/>
          <w:sz w:val="15"/>
          <w:szCs w:val="15"/>
          <w:color w:val="auto"/>
        </w:rPr>
      </w:pPr>
      <w:r>
        <w:rPr>
          <w:rFonts w:ascii="Arial" w:cs="Arial" w:eastAsia="Arial" w:hAnsi="Arial"/>
          <w:sz w:val="15"/>
          <w:szCs w:val="15"/>
          <w:color w:val="auto"/>
        </w:rPr>
        <w:t>a $400.0 million initial term loan (the “Initial Term Facility”), (ii) a committed delayed draw term loan facility of up to $300.0 million, available to be drawn in one or more tranches through August 2027 (the “Delayed Draw Facility”), which Delayed Draw Facility may be used solely for permitted acquisitions (as defined in the 2026 Financing Agreement) and (iii) an uncommitted incremental facility of up to $500.0 million. The Initial Term Facility matures in April 2031. Borrowings under the 2026 Financing Agreement bear interest, at the Company’s election, at either the Term SOFR plus 5.00% or the Base Rate plus 4.00% (where Term SOFR and Base Rate are each as defined in the 2026 Financing Agreement filed as an exhibit to this Form 10-Q). Proceeds from the 2026 Financing Agreement, together with the Company’s cash on hand, were used to repay the 2023 Term Loan in full.</w:t>
      </w:r>
    </w:p>
    <w:p>
      <w:pPr>
        <w:spacing w:after="0" w:line="121" w:lineRule="exact"/>
        <w:rPr>
          <w:sz w:val="20"/>
          <w:szCs w:val="20"/>
          <w:color w:val="auto"/>
        </w:rPr>
      </w:pPr>
    </w:p>
    <w:p>
      <w:pPr>
        <w:ind w:left="8" w:right="180" w:firstLine="551"/>
        <w:spacing w:after="0" w:line="294" w:lineRule="auto"/>
        <w:rPr>
          <w:sz w:val="20"/>
          <w:szCs w:val="20"/>
          <w:color w:val="auto"/>
        </w:rPr>
      </w:pPr>
      <w:r>
        <w:rPr>
          <w:rFonts w:ascii="Arial" w:cs="Arial" w:eastAsia="Arial" w:hAnsi="Arial"/>
          <w:sz w:val="15"/>
          <w:szCs w:val="15"/>
          <w:color w:val="auto"/>
        </w:rPr>
        <w:t>There were no other significant subsequent events identified through the date that the condensed consolidated financial statements were issued, that could impact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7804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8"/>
          </w:cols>
          <w:pgMar w:left="312" w:top="124" w:right="35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63" w:lineRule="exact"/>
        <w:rPr>
          <w:sz w:val="20"/>
          <w:szCs w:val="20"/>
          <w:color w:val="auto"/>
        </w:rPr>
      </w:pPr>
    </w:p>
    <w:p>
      <w:pPr>
        <w:ind w:firstLine="551"/>
        <w:spacing w:after="0" w:line="260"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unaudited condensed consolidated financial statements and the related notes included in Item 1 of in this Quarterly Report and our audited consolidated financial statements and the related notes and the discussion under the heading “Management’s Discussion and Analysis of Financial Condition and Results of Operations” in our Annual Report on Form 10-K for the year ended December 31, 2025.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 titled “Risk Factors” and elsewhere in this Quarterly Report and in our Annual Report on Form 10-K for the year ended December 31, 2025. See the section titled “Special Note Regarding Forward-Looking Statements” elsewhere in this Quarterly Report. Our historical results are not necessarily indicative of the results that may be expected for any period in the future. Unless context requires otherwise, references to “we,” “us,” “our,” “Caris,” or “the Company” here refer to Caris Life Sciences, Inc. together with its wholly owned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63" w:lineRule="exact"/>
        <w:rPr>
          <w:sz w:val="20"/>
          <w:szCs w:val="20"/>
          <w:color w:val="auto"/>
        </w:rPr>
      </w:pPr>
    </w:p>
    <w:p>
      <w:pPr>
        <w:ind w:right="20" w:firstLine="551"/>
        <w:spacing w:after="0" w:line="275" w:lineRule="auto"/>
        <w:rPr>
          <w:sz w:val="20"/>
          <w:szCs w:val="20"/>
          <w:color w:val="auto"/>
        </w:rPr>
      </w:pPr>
      <w:r>
        <w:rPr>
          <w:rFonts w:ascii="Arial" w:cs="Arial" w:eastAsia="Arial" w:hAnsi="Arial"/>
          <w:sz w:val="15"/>
          <w:szCs w:val="15"/>
          <w:color w:val="auto"/>
        </w:rPr>
        <w:t>We are a leading, patient-centric, next-generation AI TechBio company and precision medicine pioneer. We develop and commercialize innovative solutions to transform healthcare through the use of comprehensive molecular information and AI/ML algorithms at scale. Our entire portfolio of precision medicine solutions is designed to benefit patients, with an initial focus on oncology, and serves the clinical, academic, and biopharma markets.</w:t>
      </w:r>
    </w:p>
    <w:p>
      <w:pPr>
        <w:spacing w:after="0" w:line="108" w:lineRule="exact"/>
        <w:rPr>
          <w:sz w:val="20"/>
          <w:szCs w:val="20"/>
          <w:color w:val="auto"/>
        </w:rPr>
      </w:pPr>
    </w:p>
    <w:p>
      <w:pPr>
        <w:ind w:right="100" w:firstLine="551"/>
        <w:spacing w:after="0" w:line="261" w:lineRule="auto"/>
        <w:rPr>
          <w:sz w:val="20"/>
          <w:szCs w:val="20"/>
          <w:color w:val="auto"/>
        </w:rPr>
      </w:pPr>
      <w:r>
        <w:rPr>
          <w:rFonts w:ascii="Arial" w:cs="Arial" w:eastAsia="Arial" w:hAnsi="Arial"/>
          <w:sz w:val="15"/>
          <w:szCs w:val="15"/>
          <w:color w:val="auto"/>
        </w:rPr>
        <w:t>We founded Caris in 2008 with the belief and vision that combining a vast set of consistently generated molecular information with robust data-driven insights could realize the potential of precision medicine for patients. We have spent the last 18 years developing and building our portfolio of comprehensive, proprietary molecular profiling solutions and generating what we believe to be one of the largest and most comprehensive multi-modal clinico-genomic datasets in oncology based on tests we have run on over 1,070,000 cases as of March 31, 2026. Our Caris Molecular Intelligence platform is purpose-built to leverage the convergence of next-generation sequencing (“NGS”), artificial intelligence (“AI”) and machine learning (“ML”) technologies, and high-performance computing. The power of our differentiated Caris platform has enabled us to develop the latest generation of advanced precision medicine diagnostic solutions designed to address the entire cancer care continuum, including early detection, minimal residual disease (“MRD”) tracking, therapy selection, and treatment monitoring, as well as to create molecular signatures and discover and develop novel precision medicine therapeutics.</w:t>
      </w:r>
    </w:p>
    <w:p>
      <w:pPr>
        <w:spacing w:after="0" w:line="130" w:lineRule="exact"/>
        <w:rPr>
          <w:sz w:val="20"/>
          <w:szCs w:val="20"/>
          <w:color w:val="auto"/>
        </w:rPr>
      </w:pPr>
    </w:p>
    <w:p>
      <w:pPr>
        <w:ind w:right="60" w:firstLine="551"/>
        <w:spacing w:after="0" w:line="261" w:lineRule="auto"/>
        <w:rPr>
          <w:sz w:val="20"/>
          <w:szCs w:val="20"/>
          <w:color w:val="auto"/>
        </w:rPr>
      </w:pPr>
      <w:r>
        <w:rPr>
          <w:rFonts w:ascii="Arial" w:cs="Arial" w:eastAsia="Arial" w:hAnsi="Arial"/>
          <w:sz w:val="15"/>
          <w:szCs w:val="15"/>
          <w:color w:val="auto"/>
        </w:rPr>
        <w:t>Our Molecular Intelligence product portfolio consists of our MI Profile Platform, our whole exome sequencing (“WES”)/whole transcriptome sequencing (“WTS”) tissue-based molecular profiling solutions that have generated the majority of our revenue to date, our Caris Assure Platform, our WES/WTS blood-based molecular profiling solutions, and our Precision Whole Genome Platform, our whole genome sequencing (“WGS”) blood- and tissue-based profiling solutions. Our purpose-built, proprietary multi-omic profiling solutions capture and analyze molecular information from tissue and blood in a comprehensive manner. We believe this approach best positions us to provide actionable treatment pathways from targeted therapies to drive superior clinical outcomes for patients while also generating a rich dataset to power insights and innovation. Our molecular profiling solutions and the data generated by our multi-omic technology platform also provide value to our biopharma partners, such as Moderna, AbbVie, Xencor, Merck KGaA and Genentech, through partnerships that aim to increase the probability of technical and regulatory success of their therapeutic pipelines.</w:t>
      </w:r>
    </w:p>
    <w:p>
      <w:pPr>
        <w:spacing w:after="0" w:line="118" w:lineRule="exact"/>
        <w:rPr>
          <w:sz w:val="20"/>
          <w:szCs w:val="20"/>
          <w:color w:val="auto"/>
        </w:rPr>
      </w:pPr>
    </w:p>
    <w:p>
      <w:pPr>
        <w:ind w:right="180" w:firstLine="551"/>
        <w:spacing w:after="0" w:line="275" w:lineRule="auto"/>
        <w:rPr>
          <w:sz w:val="20"/>
          <w:szCs w:val="20"/>
          <w:color w:val="auto"/>
        </w:rPr>
      </w:pPr>
      <w:r>
        <w:rPr>
          <w:rFonts w:ascii="Arial" w:cs="Arial" w:eastAsia="Arial" w:hAnsi="Arial"/>
          <w:sz w:val="15"/>
          <w:szCs w:val="15"/>
          <w:color w:val="auto"/>
        </w:rPr>
        <w:t>We believe that our early foresight to generate comprehensive data at scale over the past many years and build a robust, foundational infrastructure have uniquely positioned Caris to leverage the benefits of biological and technological advances to deliver transformative and advanced innovations in precision medicine and patient care into the future.</w:t>
      </w:r>
    </w:p>
    <w:p>
      <w:pPr>
        <w:spacing w:after="0" w:line="108" w:lineRule="exact"/>
        <w:rPr>
          <w:sz w:val="20"/>
          <w:szCs w:val="20"/>
          <w:color w:val="auto"/>
        </w:rPr>
      </w:pPr>
    </w:p>
    <w:p>
      <w:pPr>
        <w:ind w:right="120" w:firstLine="551"/>
        <w:spacing w:after="0" w:line="275" w:lineRule="auto"/>
        <w:rPr>
          <w:sz w:val="20"/>
          <w:szCs w:val="20"/>
          <w:color w:val="auto"/>
        </w:rPr>
      </w:pPr>
      <w:r>
        <w:rPr>
          <w:rFonts w:ascii="Arial" w:cs="Arial" w:eastAsia="Arial" w:hAnsi="Arial"/>
          <w:sz w:val="15"/>
          <w:szCs w:val="15"/>
          <w:color w:val="auto"/>
        </w:rPr>
        <w:t>To our knowledge, we remain the only genomic profiling company to consistently utilize WES and WTS as standard practice on every eligible patient sample. Our in-depth profiling of patient samples has led to the creation of what we believe to be one of the largest and most comprehensive multi-modal clinico-genomic datasets in oncology.</w:t>
      </w:r>
    </w:p>
    <w:p>
      <w:pPr>
        <w:spacing w:after="0" w:line="119" w:lineRule="exact"/>
        <w:rPr>
          <w:sz w:val="20"/>
          <w:szCs w:val="20"/>
          <w:color w:val="auto"/>
        </w:rPr>
      </w:pPr>
    </w:p>
    <w:p>
      <w:pPr>
        <w:ind w:right="140" w:firstLine="551"/>
        <w:spacing w:after="0" w:line="275" w:lineRule="auto"/>
        <w:rPr>
          <w:sz w:val="20"/>
          <w:szCs w:val="20"/>
          <w:color w:val="auto"/>
        </w:rPr>
      </w:pPr>
      <w:r>
        <w:rPr>
          <w:rFonts w:ascii="Arial" w:cs="Arial" w:eastAsia="Arial" w:hAnsi="Arial"/>
          <w:sz w:val="15"/>
          <w:szCs w:val="15"/>
          <w:color w:val="auto"/>
        </w:rPr>
        <w:t>With our broad commercial launch of Caris Assure for therapy selection in the first quarter of 2024 and the FDA approval of MI Cancer Seek as a companion diagnostic in the fourth quarter of 2024 followed by the broad commercial launch of MI Cancer Seek in the first quarter of 2025 as the NGS component of the MI Profile Platform, we believe that increased profiling volumes will meaningfully contribute to our growth in 2026 and beyond.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firstLine="551"/>
        <w:spacing w:after="0" w:line="262" w:lineRule="auto"/>
        <w:rPr>
          <w:sz w:val="20"/>
          <w:szCs w:val="20"/>
          <w:color w:val="auto"/>
        </w:rPr>
      </w:pPr>
      <w:r>
        <w:rPr>
          <w:rFonts w:ascii="Arial" w:cs="Arial" w:eastAsia="Arial" w:hAnsi="Arial"/>
          <w:sz w:val="15"/>
          <w:szCs w:val="15"/>
          <w:color w:val="auto"/>
        </w:rPr>
        <w:t>Our Caris platform is designed to create a virtuous cycle that can enable continued innovation and improved impact for patients and physicians. We believe our comprehensive approach to profiling will continue to drive demand for our genomic profiling capabilities, leading to further expansion of our clinico-genomic datasets, which provide additional valuable inputs to develop and enhance our solutions, with the ultimate goal of contributing to improved patient results. This continuous feedback loop enabled us to develop the Caris Assure Platform, which utilized genomic data generated by the MI Profile Platform to inform our blood-based bioinformatics algorithms, allowing us to detect previously unknown features and signals in the blood that provide advanced insights into disease development. We believe we will be able to further leverage this process to continue meaningful innovation in precision oncology as well as other chronic disease states, including cardiology, neurology, and metabolic conditions.</w:t>
      </w:r>
    </w:p>
    <w:p>
      <w:pPr>
        <w:spacing w:after="0" w:line="117" w:lineRule="exact"/>
        <w:rPr>
          <w:sz w:val="20"/>
          <w:szCs w:val="20"/>
          <w:color w:val="auto"/>
        </w:rPr>
      </w:pPr>
    </w:p>
    <w:p>
      <w:pPr>
        <w:ind w:right="20" w:firstLine="551"/>
        <w:spacing w:after="0" w:line="260" w:lineRule="auto"/>
        <w:rPr>
          <w:sz w:val="20"/>
          <w:szCs w:val="20"/>
          <w:color w:val="auto"/>
        </w:rPr>
      </w:pPr>
      <w:r>
        <w:rPr>
          <w:rFonts w:ascii="Arial" w:cs="Arial" w:eastAsia="Arial" w:hAnsi="Arial"/>
          <w:sz w:val="15"/>
          <w:szCs w:val="15"/>
          <w:color w:val="auto"/>
        </w:rPr>
        <w:t>For the three months ended March 31, 2026 and 2025, we generated total revenue of $216.2 million and $120.9 million, respectively, and incurred net loss of $0.5 million and $102.6 million, respectively. Our Adjusted EBITDA was $26.2 million and $(36.2) million for the three months ended March 31, 2026 and 2025, respectively. While we have achieved net profit for the three months ended September 30, 2025 and December 31, 2025, we may continue to incur net losses in the near future, and our expenses are expected to increase as we continue to invest in developing new solutions, expand our organization, and increase our marketing efforts to continue to launch and drive market adoption of our solutions. Cash flow from operations was $32.9 million and $(31.3) million for the three months ended March 31, 2026 and 2025, respectively. Our free cash flow was $22.5 million and $(34.0) million for the three months ended March 31, 2026 and 2025, respectively. For additional information regarding Adjusted EBITDA and free cash flow, each non-GAAP financial measures, see “—Non-GAAP Financial Measures.” Additionally, as of March 31, 2026, we had cash, cash equivalents, restricted cash and marketable securities of $825.7 million, and the aggregate principal amount of debt outstanding under our existing term loan was $400.0 million. For additional information regarding our liquidity and capital resources, see “—Liquidity and Capital Resources.”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63" w:lineRule="exact"/>
        <w:rPr>
          <w:sz w:val="20"/>
          <w:szCs w:val="20"/>
          <w:color w:val="auto"/>
        </w:rPr>
      </w:pPr>
    </w:p>
    <w:p>
      <w:pPr>
        <w:jc w:val="both"/>
        <w:ind w:firstLine="551"/>
        <w:spacing w:after="0" w:line="275" w:lineRule="auto"/>
        <w:rPr>
          <w:sz w:val="20"/>
          <w:szCs w:val="20"/>
          <w:color w:val="auto"/>
        </w:rPr>
      </w:pPr>
      <w:r>
        <w:rPr>
          <w:rFonts w:ascii="Arial" w:cs="Arial" w:eastAsia="Arial" w:hAnsi="Arial"/>
          <w:sz w:val="15"/>
          <w:szCs w:val="15"/>
          <w:color w:val="auto"/>
        </w:rPr>
        <w:t>We believe that our operating performance and future success depend on a number of factors that present significant opportunities for us and may pose risks and challenges, including those discussed below and in the “Risk Factors” section of this Quarterly Report and in our Annual Report on Form 10-K for the year ended December 31, 2025.</w:t>
      </w:r>
    </w:p>
    <w:p>
      <w:pPr>
        <w:spacing w:after="0" w:line="108" w:lineRule="exact"/>
        <w:rPr>
          <w:sz w:val="20"/>
          <w:szCs w:val="20"/>
          <w:color w:val="auto"/>
        </w:rPr>
      </w:pPr>
    </w:p>
    <w:p>
      <w:pPr>
        <w:ind w:left="540" w:right="40" w:hanging="273"/>
        <w:spacing w:after="0" w:line="258" w:lineRule="auto"/>
        <w:tabs>
          <w:tab w:leader="none" w:pos="513"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Market acceptance and commercial success of our solutions. </w:t>
      </w:r>
      <w:r>
        <w:rPr>
          <w:rFonts w:ascii="Arial" w:cs="Arial" w:eastAsia="Arial" w:hAnsi="Arial"/>
          <w:sz w:val="15"/>
          <w:szCs w:val="15"/>
          <w:color w:val="auto"/>
        </w:rPr>
        <w:t>Our success and future growth will depend on maintaining and expanding market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acceptance of our current and future molecular profiling solutions along with commercial success of these solutions across existing and new customers. Our MI Profile and Caris Assure case volumes have continued to increase over time. Changes in our case volumes and the pricing of our solutions, however, are generally not impacted by the cancer type. For the three months ended March 31, 2026 and 2025, the number of clinical cases was 52,800 and 45,900, respectively. We commercially launched our MI Cancer Seek solution in January 2025 as the WES/WTS NGS component of our MI Profile platform. We initiated the broad commercial launch of Caris Assure for therapy selection in the first quarter of 2024. Realizing the potential of Caris Assure and our future solutions, including Caris Detect, across the cancer treatment continuum is a key component of our business strategy. The commercial success of our solutions will depend upon, among other things, additional validation studies and clinical trials that demonstrate the effectiveness of our solutions, particularly for early detection, multi-cancer early detection (“MCED”), MRD tracking, and treatment monitoring, and the continued adoption of Caris Assure and the adoption of our other solutions, including Caris Detect, by patients, the medical community, and third-party payers. In addition, we expect that our ability to maintain and expand our sales, marketing, and distribution capabilities to support the increased adoption of our molecular profiling solutions will be a key factor in our success.</w:t>
      </w:r>
    </w:p>
    <w:p>
      <w:pPr>
        <w:spacing w:after="0" w:line="179" w:lineRule="exact"/>
        <w:rPr>
          <w:rFonts w:ascii="Arial" w:cs="Arial" w:eastAsia="Arial" w:hAnsi="Arial"/>
          <w:sz w:val="15"/>
          <w:szCs w:val="15"/>
          <w:color w:val="auto"/>
        </w:rPr>
      </w:pPr>
    </w:p>
    <w:p>
      <w:pPr>
        <w:ind w:left="540" w:right="80" w:hanging="273"/>
        <w:spacing w:after="0" w:line="255" w:lineRule="auto"/>
        <w:tabs>
          <w:tab w:leader="none" w:pos="513"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Biopharma partners. </w:t>
      </w:r>
      <w:r>
        <w:rPr>
          <w:rFonts w:ascii="Arial" w:cs="Arial" w:eastAsia="Arial" w:hAnsi="Arial"/>
          <w:sz w:val="15"/>
          <w:szCs w:val="15"/>
          <w:color w:val="auto"/>
        </w:rPr>
        <w:t>Our revenue also depends on our ability to maintain and expand relationships with our biopharma partners and attract new biopharma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As we continue to develop these relationships, we expect to support a growing number of projects and continue to have opportunities to offer our platform to such customers for development and research services.</w:t>
      </w:r>
    </w:p>
    <w:p>
      <w:pPr>
        <w:spacing w:after="0" w:line="1" w:lineRule="exact"/>
        <w:rPr>
          <w:rFonts w:ascii="Arial" w:cs="Arial" w:eastAsia="Arial" w:hAnsi="Arial"/>
          <w:sz w:val="15"/>
          <w:szCs w:val="15"/>
          <w:color w:val="auto"/>
        </w:rPr>
      </w:pPr>
    </w:p>
    <w:p>
      <w:pPr>
        <w:ind w:left="540" w:right="160" w:hanging="273"/>
        <w:spacing w:after="0" w:line="258" w:lineRule="auto"/>
        <w:tabs>
          <w:tab w:leader="none" w:pos="513"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Development and introduction of new solutions. </w:t>
      </w:r>
      <w:r>
        <w:rPr>
          <w:rFonts w:ascii="Arial" w:cs="Arial" w:eastAsia="Arial" w:hAnsi="Arial"/>
          <w:sz w:val="15"/>
          <w:szCs w:val="15"/>
          <w:color w:val="auto"/>
        </w:rPr>
        <w:t>Our business success will also depend on our ability to develop and commercialize new solutions.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to continue to invest in the enhancement of our molecular profiling solutions, the development of new solutions to achieve meaningful innovation in precision oncology and other disease states, and the expansion of our clinico-genomic datasets to drive breakthrough science. We intend to expand the application of Caris Assure to early detection, MCED, MRD tracking, and treatment monitoring. Our ability to develop and commercialize new solutions and services could face many challenges that could impact our future performance and results of operations. Such challenges include, but are not limited to, obtaining regulatory approvals; completing certain clinical development activities, validation studies, and/or clinical trials; having guidelines or recommendations for healthcare providers, administrators, payers, and patient</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communities relating to such solutions; and receiving favorable exposure in peer-reviewed publications and from key opinion leaders (“KOLs”).</w:t>
      </w:r>
    </w:p>
    <w:p>
      <w:pPr>
        <w:spacing w:after="0" w:line="25" w:lineRule="exact"/>
        <w:rPr>
          <w:sz w:val="20"/>
          <w:szCs w:val="20"/>
          <w:color w:val="auto"/>
        </w:rPr>
      </w:pPr>
    </w:p>
    <w:p>
      <w:pPr>
        <w:ind w:left="540" w:hanging="273"/>
        <w:spacing w:after="0" w:line="255" w:lineRule="auto"/>
        <w:tabs>
          <w:tab w:leader="none" w:pos="513"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Payer coverage and reimbursements. </w:t>
      </w:r>
      <w:r>
        <w:rPr>
          <w:rFonts w:ascii="Arial" w:cs="Arial" w:eastAsia="Arial" w:hAnsi="Arial"/>
          <w:sz w:val="15"/>
          <w:szCs w:val="15"/>
          <w:color w:val="auto"/>
        </w:rPr>
        <w:t>Our revenue and future revenue growth will depend on our success in achieving broad coverage and adequate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reimbursement for our solutions from third-party payers. Coverage and reimbursement by third-party payers, including managed care organizations, private health insurers, and government healthcare programs for the types of solutions we offer can be limited and uncertain and may depend on a number of factors, including a payer’s determination that a product is appropriate, medically necessary, and cost-effective. Each payer will make its own decision as to whether to establish a policy or enter into a contract to cover our products and the amount it will reimburse for such products. While the average selling prices (“ASPs”) for our solutions reimbursed by a particular payer are determined by our arrangements with that payer and do not materially differ by cancer type, any fluctuation or differences in coverage and reimbursement among our third-party payers may impact our overall ASPs and gross margins. Moreover, if we are unable to obtain and/or maintain broad coverage and adequate reimbursement for our solutions from third-party payers, we may not be able to effectively increase our clinical case volume and our revenue would be impacted.</w:t>
      </w:r>
    </w:p>
    <w:p>
      <w:pPr>
        <w:spacing w:after="0" w:line="4" w:lineRule="exact"/>
        <w:rPr>
          <w:rFonts w:ascii="Arial" w:cs="Arial" w:eastAsia="Arial" w:hAnsi="Arial"/>
          <w:sz w:val="15"/>
          <w:szCs w:val="15"/>
          <w:color w:val="auto"/>
        </w:rPr>
      </w:pPr>
    </w:p>
    <w:p>
      <w:pPr>
        <w:ind w:left="540" w:right="60" w:hanging="273"/>
        <w:spacing w:after="0" w:line="258" w:lineRule="auto"/>
        <w:tabs>
          <w:tab w:leader="none" w:pos="513"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Scaling infrastructure to meet increasing demand. </w:t>
      </w:r>
      <w:r>
        <w:rPr>
          <w:rFonts w:ascii="Arial" w:cs="Arial" w:eastAsia="Arial" w:hAnsi="Arial"/>
          <w:sz w:val="15"/>
          <w:szCs w:val="15"/>
          <w:color w:val="auto"/>
        </w:rPr>
        <w:t>Our financial results are also dependent upon our ability to support current and future levels of demand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our solutions, including MI Profile and Caris Assure. As the volumes of our current and new molecular profiling solutions continue to grow, we will need to simultaneously increase our capacity for sample intake and storage, enhance our customer service, improve our billing and general business processes, expand our internal quality assurance programs, incorporate new equipment, implement new technology systems and processes, expand laboratory capacity, and otherwise extend our operational capabilities to support comprehensive genomic analyses at a larger scale while retaining expected turnaround times. This may result in us purchasing additional equipment, constructing additional facilities, hiring additional qualified labor, and implementing new systems, technology, controls, and procedures. As such, our capital expenditures and cost of services may increase as we continue our efforts to expand capacity. In addition, revenue may be impacted in the event that we are not able to meet the increase in demand.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Revenue consists primarily of the following: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Molecular Profiling Services</w:t>
      </w:r>
    </w:p>
    <w:p>
      <w:pPr>
        <w:spacing w:after="0" w:line="172" w:lineRule="exact"/>
        <w:rPr>
          <w:sz w:val="20"/>
          <w:szCs w:val="20"/>
          <w:color w:val="auto"/>
        </w:rPr>
      </w:pPr>
    </w:p>
    <w:p>
      <w:pPr>
        <w:ind w:right="40" w:firstLine="551"/>
        <w:spacing w:after="0" w:line="268" w:lineRule="auto"/>
        <w:rPr>
          <w:sz w:val="20"/>
          <w:szCs w:val="20"/>
          <w:color w:val="auto"/>
        </w:rPr>
      </w:pPr>
      <w:r>
        <w:rPr>
          <w:rFonts w:ascii="Arial" w:cs="Arial" w:eastAsia="Arial" w:hAnsi="Arial"/>
          <w:sz w:val="15"/>
          <w:szCs w:val="15"/>
          <w:color w:val="auto"/>
        </w:rPr>
        <w:t>Molecular profiling services revenue is generated from the provision of precision oncology solutions to ordering physicians utilizing MI Profile, MI Cancer Seek (NGS component of MI Profile), and Caris Assure. Revenue is recorded when performance obligations are satisfied, which is deemed to be when the results of the profiling services are provided to the ordering physicians, including certain hospitals, cancer centers, and institutions. Revenue is recorded at the amount that reflects the consideration to which we expect to be entitled from customers and third-party payers in exchange for providing such services.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Pharma Research and Development Services</w:t>
      </w:r>
    </w:p>
    <w:p>
      <w:pPr>
        <w:spacing w:after="0" w:line="161" w:lineRule="exact"/>
        <w:rPr>
          <w:sz w:val="20"/>
          <w:szCs w:val="20"/>
          <w:color w:val="auto"/>
        </w:rPr>
      </w:pPr>
    </w:p>
    <w:p>
      <w:pPr>
        <w:ind w:right="40" w:firstLine="551"/>
        <w:spacing w:after="0" w:line="268" w:lineRule="auto"/>
        <w:rPr>
          <w:sz w:val="20"/>
          <w:szCs w:val="20"/>
          <w:color w:val="auto"/>
        </w:rPr>
      </w:pPr>
      <w:r>
        <w:rPr>
          <w:rFonts w:ascii="Arial" w:cs="Arial" w:eastAsia="Arial" w:hAnsi="Arial"/>
          <w:sz w:val="15"/>
          <w:szCs w:val="15"/>
          <w:color w:val="auto"/>
        </w:rPr>
        <w:t>Pharma research and development services revenue is generated from the provision of research and development services for biopharma partners utilizing our Caris platform. Given the nature of these services, each contract may contain multiple performance obligations, such as molecular profiling solutions, research services, and strategic data services. Each performance obligation is analyzed, and revenue is recognized as or when such performance obligations are satisfied. The timing and extent of revenue recognized may vary from contract to contract.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Operating Expenses</w:t>
      </w:r>
    </w:p>
    <w:p>
      <w:pPr>
        <w:spacing w:after="0" w:line="161"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We allocate certain overhead expenses, such as rent, utilities, and depreciation to cost of services and operating expense categories based on headcount and facility usage. As a result, an overhead expense allocation is reflected in cost of services and 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Services - Molecular profiling services</w:t>
      </w:r>
    </w:p>
    <w:p>
      <w:pPr>
        <w:spacing w:after="0" w:line="172" w:lineRule="exact"/>
        <w:rPr>
          <w:sz w:val="20"/>
          <w:szCs w:val="20"/>
          <w:color w:val="auto"/>
        </w:rPr>
      </w:pPr>
    </w:p>
    <w:p>
      <w:pPr>
        <w:ind w:right="740" w:firstLine="551"/>
        <w:spacing w:after="0" w:line="294" w:lineRule="auto"/>
        <w:rPr>
          <w:sz w:val="20"/>
          <w:szCs w:val="20"/>
          <w:color w:val="auto"/>
        </w:rPr>
      </w:pPr>
      <w:r>
        <w:rPr>
          <w:rFonts w:ascii="Arial" w:cs="Arial" w:eastAsia="Arial" w:hAnsi="Arial"/>
          <w:sz w:val="15"/>
          <w:szCs w:val="15"/>
          <w:color w:val="auto"/>
        </w:rPr>
        <w:t>Cost of molecular profiling services generally consists of cost of materials, direct labor (including bonus and stock-based compensation), equipment maintenance and depreciation expenses associated with processing cases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(including accessioning, sequencing, quality control analyses, and shipping charges to transport samples), and freight. Costs associated with completing the molecular profiling services are recorded as the service is performed, regardless of whether revenue is recognized with respect to the service.</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Services - Pharma research and development services</w:t>
      </w:r>
    </w:p>
    <w:p>
      <w:pPr>
        <w:spacing w:after="0" w:line="172" w:lineRule="exact"/>
        <w:rPr>
          <w:sz w:val="20"/>
          <w:szCs w:val="20"/>
          <w:color w:val="auto"/>
        </w:rPr>
      </w:pPr>
    </w:p>
    <w:p>
      <w:pPr>
        <w:ind w:right="120" w:firstLine="551"/>
        <w:spacing w:after="0" w:line="268" w:lineRule="auto"/>
        <w:rPr>
          <w:sz w:val="20"/>
          <w:szCs w:val="20"/>
          <w:color w:val="auto"/>
        </w:rPr>
      </w:pPr>
      <w:r>
        <w:rPr>
          <w:rFonts w:ascii="Arial" w:cs="Arial" w:eastAsia="Arial" w:hAnsi="Arial"/>
          <w:sz w:val="15"/>
          <w:szCs w:val="15"/>
          <w:color w:val="auto"/>
        </w:rPr>
        <w:t>Cost of services for pharma research and development services generally consists of costs incurred for the performance of the services requested by our biopharma partners related to research and development services. For the development of new products, costs incurred before technological feasibility has been achieved are reported as research and development expenses, while costs incurred thereafter are reported as cost of services. Cost of services for pharma research and development services will vary depending on the nature, timing, and scope of customer projects.</w:t>
      </w:r>
    </w:p>
    <w:p>
      <w:pPr>
        <w:spacing w:after="0" w:line="114" w:lineRule="exact"/>
        <w:rPr>
          <w:sz w:val="20"/>
          <w:szCs w:val="20"/>
          <w:color w:val="auto"/>
        </w:rPr>
      </w:pPr>
    </w:p>
    <w:p>
      <w:pPr>
        <w:ind w:right="100" w:firstLine="551"/>
        <w:spacing w:after="0" w:line="275" w:lineRule="auto"/>
        <w:rPr>
          <w:sz w:val="20"/>
          <w:szCs w:val="20"/>
          <w:color w:val="auto"/>
        </w:rPr>
      </w:pPr>
      <w:r>
        <w:rPr>
          <w:rFonts w:ascii="Arial" w:cs="Arial" w:eastAsia="Arial" w:hAnsi="Arial"/>
          <w:sz w:val="15"/>
          <w:szCs w:val="15"/>
          <w:color w:val="auto"/>
        </w:rPr>
        <w:t>We expect cost of services to increase in absolute dollars as our revenue grows. In the short term, increases to cost of services may outpace revenue growth as we invest in expanding our laboratory capacity and implementing new processes. However, over time, the cost per clinical case is expected to decrease due to economies of scale.</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and Marketing Expense</w:t>
      </w:r>
    </w:p>
    <w:p>
      <w:pPr>
        <w:spacing w:after="0" w:line="172" w:lineRule="exact"/>
        <w:rPr>
          <w:sz w:val="20"/>
          <w:szCs w:val="20"/>
          <w:color w:val="auto"/>
        </w:rPr>
      </w:pPr>
    </w:p>
    <w:p>
      <w:pPr>
        <w:jc w:val="both"/>
        <w:ind w:right="140" w:firstLine="551"/>
        <w:spacing w:after="0" w:line="275" w:lineRule="auto"/>
        <w:rPr>
          <w:sz w:val="20"/>
          <w:szCs w:val="20"/>
          <w:color w:val="auto"/>
        </w:rPr>
      </w:pPr>
      <w:r>
        <w:rPr>
          <w:rFonts w:ascii="Arial" w:cs="Arial" w:eastAsia="Arial" w:hAnsi="Arial"/>
          <w:sz w:val="15"/>
          <w:szCs w:val="15"/>
          <w:color w:val="auto"/>
        </w:rPr>
        <w:t>Our selling and marketing expense includes costs associated with our sales organization, including our direct sales force and sales management, marketing, and business development personnel. These expenses consist principally of salaries, incentive compensation, bonuses, employee benefits, travel, and stock-based compensation, as well as marketing and educational activities. We expense all selling and marketing expenses as incurred.</w:t>
      </w:r>
    </w:p>
    <w:p>
      <w:pPr>
        <w:spacing w:after="0" w:line="108" w:lineRule="exact"/>
        <w:rPr>
          <w:sz w:val="20"/>
          <w:szCs w:val="20"/>
          <w:color w:val="auto"/>
        </w:rPr>
      </w:pPr>
    </w:p>
    <w:p>
      <w:pPr>
        <w:ind w:right="220" w:firstLine="551"/>
        <w:spacing w:after="0" w:line="294" w:lineRule="auto"/>
        <w:rPr>
          <w:sz w:val="20"/>
          <w:szCs w:val="20"/>
          <w:color w:val="auto"/>
        </w:rPr>
      </w:pPr>
      <w:r>
        <w:rPr>
          <w:rFonts w:ascii="Arial" w:cs="Arial" w:eastAsia="Arial" w:hAnsi="Arial"/>
          <w:sz w:val="15"/>
          <w:szCs w:val="15"/>
          <w:color w:val="auto"/>
        </w:rPr>
        <w:t>We believe that our marketing activities continue to drive awareness and differentiate our existing and future solutions. We expect our selling and marketing expenses to continue to increase in absolute dollars as we expand our sales force and continue to grow our presence within and outside of the 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 Expense</w:t>
      </w:r>
    </w:p>
    <w:p>
      <w:pPr>
        <w:spacing w:after="0" w:line="172" w:lineRule="exact"/>
        <w:rPr>
          <w:sz w:val="20"/>
          <w:szCs w:val="20"/>
          <w:color w:val="auto"/>
        </w:rPr>
      </w:pPr>
    </w:p>
    <w:p>
      <w:pPr>
        <w:ind w:right="60" w:firstLine="551"/>
        <w:spacing w:after="0" w:line="265" w:lineRule="auto"/>
        <w:rPr>
          <w:sz w:val="20"/>
          <w:szCs w:val="20"/>
          <w:color w:val="auto"/>
        </w:rPr>
      </w:pPr>
      <w:r>
        <w:rPr>
          <w:rFonts w:ascii="Arial" w:cs="Arial" w:eastAsia="Arial" w:hAnsi="Arial"/>
          <w:sz w:val="15"/>
          <w:szCs w:val="15"/>
          <w:color w:val="auto"/>
        </w:rPr>
        <w:t>Our general and administrative expense includes costs for our executive, accounting and finance, legal, information technology, billing, and human resources functions. These expenses consist principally of salaries, bonuses, employee benefits, travel, and stock-based compensation, as well as professional services fees (such as audit and tax consulting), general corporate costs, and allocated overhead expenses. While we expect our general and administrative expenses will increase in absolute dollars as we continue to invest in our growth and operate as a public company, we expect them to decline as a percentage of revenue over time as we scale our business and leverage our investments already made.</w:t>
      </w:r>
    </w:p>
    <w:p>
      <w:pPr>
        <w:spacing w:after="0" w:line="116" w:lineRule="exact"/>
        <w:rPr>
          <w:sz w:val="20"/>
          <w:szCs w:val="20"/>
          <w:color w:val="auto"/>
        </w:rPr>
      </w:pPr>
    </w:p>
    <w:p>
      <w:pPr>
        <w:ind w:right="60" w:firstLine="551"/>
        <w:spacing w:after="0" w:line="275" w:lineRule="auto"/>
        <w:rPr>
          <w:sz w:val="20"/>
          <w:szCs w:val="20"/>
          <w:color w:val="auto"/>
        </w:rPr>
      </w:pPr>
      <w:r>
        <w:rPr>
          <w:rFonts w:ascii="Arial" w:cs="Arial" w:eastAsia="Arial" w:hAnsi="Arial"/>
          <w:sz w:val="15"/>
          <w:szCs w:val="15"/>
          <w:color w:val="auto"/>
        </w:rPr>
        <w:t>We expect to incur additional expenses, primarily due to the additional costs of operating as a public company, which include additional legal, accounting, corporate governance, and investor relations expenses, as well as higher directors’ and officers’ insurance premiums. In addition, we incur stock-based compensation expense related to our equity incentive plans.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pacing w:after="0" w:line="172" w:lineRule="exact"/>
        <w:rPr>
          <w:sz w:val="20"/>
          <w:szCs w:val="20"/>
          <w:color w:val="auto"/>
        </w:rPr>
      </w:pPr>
    </w:p>
    <w:p>
      <w:pPr>
        <w:ind w:right="40" w:firstLine="551"/>
        <w:spacing w:after="0" w:line="275" w:lineRule="auto"/>
        <w:rPr>
          <w:sz w:val="20"/>
          <w:szCs w:val="20"/>
          <w:color w:val="auto"/>
        </w:rPr>
      </w:pPr>
      <w:r>
        <w:rPr>
          <w:rFonts w:ascii="Arial" w:cs="Arial" w:eastAsia="Arial" w:hAnsi="Arial"/>
          <w:sz w:val="15"/>
          <w:szCs w:val="15"/>
          <w:color w:val="auto"/>
        </w:rPr>
        <w:t>Our research and development expense consists of costs incurred in performing research and development activities. These expenses include direct costs for salaries and benefits, supplies used in research and development, contract services and other outside costs, costs to acquire in-process research and development projects and technologies that have no alternative future use, and allocated overhead expenses.</w:t>
      </w:r>
    </w:p>
    <w:p>
      <w:pPr>
        <w:spacing w:after="0" w:line="108" w:lineRule="exact"/>
        <w:rPr>
          <w:sz w:val="20"/>
          <w:szCs w:val="20"/>
          <w:color w:val="auto"/>
        </w:rPr>
      </w:pPr>
    </w:p>
    <w:p>
      <w:pPr>
        <w:ind w:right="480" w:firstLine="551"/>
        <w:spacing w:after="0" w:line="294" w:lineRule="auto"/>
        <w:rPr>
          <w:sz w:val="20"/>
          <w:szCs w:val="20"/>
          <w:color w:val="auto"/>
        </w:rPr>
      </w:pPr>
      <w:r>
        <w:rPr>
          <w:rFonts w:ascii="Arial" w:cs="Arial" w:eastAsia="Arial" w:hAnsi="Arial"/>
          <w:sz w:val="15"/>
          <w:szCs w:val="15"/>
          <w:color w:val="auto"/>
        </w:rPr>
        <w:t>We expect that our overall research and development expenses will vary from period to period as a percentage of revenue, as projects are initiated and completed.</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Expense, Net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Income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Interest income consists primarily of interest earned on our cash and cash equivalents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w:t>
      </w:r>
    </w:p>
    <w:p>
      <w:pPr>
        <w:spacing w:after="0" w:line="161"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Interest expense consists primarily of contractual interest expense on our term loan, amortization of the debt discount related to our term loan and convertible notes, and interest expense on our finance leases.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Fair Value of Financial Instruments</w:t>
      </w:r>
    </w:p>
    <w:p>
      <w:pPr>
        <w:spacing w:after="0" w:line="161" w:lineRule="exact"/>
        <w:rPr>
          <w:sz w:val="20"/>
          <w:szCs w:val="20"/>
          <w:color w:val="auto"/>
        </w:rPr>
      </w:pPr>
    </w:p>
    <w:p>
      <w:pPr>
        <w:ind w:right="120" w:firstLine="551"/>
        <w:spacing w:after="0" w:line="275" w:lineRule="auto"/>
        <w:rPr>
          <w:sz w:val="20"/>
          <w:szCs w:val="20"/>
          <w:color w:val="auto"/>
        </w:rPr>
      </w:pPr>
      <w:r>
        <w:rPr>
          <w:rFonts w:ascii="Arial" w:cs="Arial" w:eastAsia="Arial" w:hAnsi="Arial"/>
          <w:sz w:val="15"/>
          <w:szCs w:val="15"/>
          <w:color w:val="auto"/>
        </w:rPr>
        <w:t>Changes in fair value of financial instruments consists of changes in the fair value of the warrant liability and changes in the fair value of derivative liabilities. Our warrants were classified as a liability on our condensed consolidated balance sheets and re-measured to fair value at each balance sheet date with the corresponding changes in fair value recorded within changes in fair value of financial instruments. All warrants were exercised upon the closing of the IPO.</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Other income (expense), net consists of items related to foreign currency gains and losses, and additional immaterial items.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00" w:type="dxa"/>
            <w:vAlign w:val="bottom"/>
            <w:gridSpan w:val="3"/>
          </w:tcPr>
          <w:p>
            <w:pPr>
              <w:spacing w:after="0"/>
              <w:rPr>
                <w:sz w:val="20"/>
                <w:szCs w:val="20"/>
                <w:color w:val="auto"/>
              </w:rPr>
            </w:pPr>
            <w:r>
              <w:rPr>
                <w:rFonts w:ascii="Arial" w:cs="Arial" w:eastAsia="Arial" w:hAnsi="Arial"/>
                <w:sz w:val="15"/>
                <w:szCs w:val="15"/>
                <w:b w:val="1"/>
                <w:bCs w:val="1"/>
                <w:color w:val="auto"/>
              </w:rPr>
              <w:t>Results of Operations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5"/>
        </w:trPr>
        <w:tc>
          <w:tcPr>
            <w:tcW w:w="300" w:type="dxa"/>
            <w:vAlign w:val="bottom"/>
          </w:tcPr>
          <w:p>
            <w:pPr>
              <w:spacing w:after="0"/>
              <w:rPr>
                <w:sz w:val="24"/>
                <w:szCs w:val="24"/>
                <w:color w:val="auto"/>
              </w:rPr>
            </w:pPr>
          </w:p>
        </w:tc>
        <w:tc>
          <w:tcPr>
            <w:tcW w:w="7400" w:type="dxa"/>
            <w:vAlign w:val="bottom"/>
            <w:gridSpan w:val="2"/>
          </w:tcPr>
          <w:p>
            <w:pPr>
              <w:ind w:left="240"/>
              <w:spacing w:after="0"/>
              <w:rPr>
                <w:sz w:val="20"/>
                <w:szCs w:val="20"/>
                <w:color w:val="auto"/>
              </w:rPr>
            </w:pPr>
            <w:r>
              <w:rPr>
                <w:rFonts w:ascii="Arial" w:cs="Arial" w:eastAsia="Arial" w:hAnsi="Arial"/>
                <w:sz w:val="15"/>
                <w:szCs w:val="15"/>
                <w:color w:val="auto"/>
              </w:rPr>
              <w:t>The following table sets forth a summary of our results of operations for the periods presented:</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4"/>
        </w:trPr>
        <w:tc>
          <w:tcPr>
            <w:tcW w:w="30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15"/>
                <w:szCs w:val="15"/>
                <w:b w:val="1"/>
                <w:bCs w:val="1"/>
                <w:color w:val="auto"/>
              </w:rPr>
              <w:t>(amounts in thousands)</w:t>
            </w:r>
          </w:p>
        </w:tc>
        <w:tc>
          <w:tcPr>
            <w:tcW w:w="300" w:type="dxa"/>
            <w:vAlign w:val="bottom"/>
          </w:tcPr>
          <w:p>
            <w:pPr>
              <w:spacing w:after="0"/>
              <w:rPr>
                <w:sz w:val="24"/>
                <w:szCs w:val="24"/>
                <w:color w:val="auto"/>
              </w:rPr>
            </w:pPr>
          </w:p>
        </w:tc>
        <w:tc>
          <w:tcPr>
            <w:tcW w:w="2960" w:type="dxa"/>
            <w:vAlign w:val="bottom"/>
            <w:gridSpan w:val="4"/>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37"/>
        </w:trPr>
        <w:tc>
          <w:tcPr>
            <w:tcW w:w="300" w:type="dxa"/>
            <w:vAlign w:val="bottom"/>
          </w:tcPr>
          <w:p>
            <w:pPr>
              <w:spacing w:after="0"/>
              <w:rPr>
                <w:sz w:val="3"/>
                <w:szCs w:val="3"/>
                <w:color w:val="auto"/>
              </w:rPr>
            </w:pPr>
          </w:p>
        </w:tc>
        <w:tc>
          <w:tcPr>
            <w:tcW w:w="1740" w:type="dxa"/>
            <w:vAlign w:val="bottom"/>
            <w:tcBorders>
              <w:top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5"/>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2025</w:t>
            </w:r>
          </w:p>
        </w:tc>
      </w:tr>
      <w:tr>
        <w:trPr>
          <w:trHeight w:val="205"/>
        </w:trPr>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Molecular profiling services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210,800</w:t>
            </w:r>
          </w:p>
        </w:tc>
        <w:tc>
          <w:tcPr>
            <w:tcW w:w="8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114,081</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Pharma research and development services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5,374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6,834</w:t>
            </w:r>
          </w:p>
        </w:tc>
      </w:tr>
      <w:tr>
        <w:trPr>
          <w:trHeight w:val="215"/>
        </w:trPr>
        <w:tc>
          <w:tcPr>
            <w:tcW w:w="300" w:type="dxa"/>
            <w:vAlign w:val="bottom"/>
          </w:tcPr>
          <w:p>
            <w:pPr>
              <w:spacing w:after="0"/>
              <w:rPr>
                <w:sz w:val="18"/>
                <w:szCs w:val="18"/>
                <w:color w:val="auto"/>
              </w:rPr>
            </w:pPr>
          </w:p>
        </w:tc>
        <w:tc>
          <w:tcPr>
            <w:tcW w:w="740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revenue</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216,174</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120,915</w:t>
            </w:r>
          </w:p>
        </w:tc>
      </w:tr>
      <w:tr>
        <w:trPr>
          <w:trHeight w:val="236"/>
        </w:trPr>
        <w:tc>
          <w:tcPr>
            <w:tcW w:w="300" w:type="dxa"/>
            <w:vAlign w:val="bottom"/>
          </w:tcPr>
          <w:p>
            <w:pPr>
              <w:spacing w:after="0"/>
              <w:rPr>
                <w:sz w:val="20"/>
                <w:szCs w:val="20"/>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xml:space="preserve">Costs and operating expenses </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Cost of Services - Molecular profiling services</w:t>
            </w:r>
          </w:p>
        </w:tc>
        <w:tc>
          <w:tcPr>
            <w:tcW w:w="3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72,884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60,894</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Cost of Services - Pharma research and development services</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1,942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2,958</w:t>
            </w: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Selling and marketing expense</w:t>
            </w:r>
          </w:p>
        </w:tc>
        <w:tc>
          <w:tcPr>
            <w:tcW w:w="3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45,043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39,829</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59,708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52,119</w:t>
            </w: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Research and development expense</w:t>
            </w:r>
          </w:p>
        </w:tc>
        <w:tc>
          <w:tcPr>
            <w:tcW w:w="3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31,315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23,066</w:t>
            </w:r>
          </w:p>
        </w:tc>
      </w:tr>
      <w:tr>
        <w:trPr>
          <w:trHeight w:val="21"/>
        </w:trPr>
        <w:tc>
          <w:tcPr>
            <w:tcW w:w="300" w:type="dxa"/>
            <w:vAlign w:val="bottom"/>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740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 costs and operating expenses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210,892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178,867</w:t>
            </w:r>
          </w:p>
        </w:tc>
      </w:tr>
      <w:tr>
        <w:trPr>
          <w:trHeight w:val="209"/>
        </w:trPr>
        <w:tc>
          <w:tcPr>
            <w:tcW w:w="30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5"/>
                <w:szCs w:val="15"/>
                <w:color w:val="auto"/>
              </w:rPr>
              <w:t>Income (Loss) from operations</w:t>
            </w:r>
          </w:p>
        </w:tc>
        <w:tc>
          <w:tcPr>
            <w:tcW w:w="3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5,282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(57,952)</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Interest income</w:t>
            </w:r>
          </w:p>
        </w:tc>
        <w:tc>
          <w:tcPr>
            <w:tcW w:w="3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6,834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503</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(12,809)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(12,782)</w:t>
            </w: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Changes in fair value of financial instruments</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(32,333)</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income (expense), net</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15"/>
        </w:trPr>
        <w:tc>
          <w:tcPr>
            <w:tcW w:w="300" w:type="dxa"/>
            <w:vAlign w:val="bottom"/>
          </w:tcPr>
          <w:p>
            <w:pPr>
              <w:spacing w:after="0"/>
              <w:rPr>
                <w:sz w:val="18"/>
                <w:szCs w:val="18"/>
                <w:color w:val="auto"/>
              </w:rPr>
            </w:pPr>
          </w:p>
        </w:tc>
        <w:tc>
          <w:tcPr>
            <w:tcW w:w="740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other expense, net</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(5,926)</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(44,629)</w:t>
            </w:r>
          </w:p>
        </w:tc>
      </w:tr>
      <w:tr>
        <w:trPr>
          <w:trHeight w:val="236"/>
        </w:trPr>
        <w:tc>
          <w:tcPr>
            <w:tcW w:w="300" w:type="dxa"/>
            <w:vAlign w:val="bottom"/>
          </w:tcPr>
          <w:p>
            <w:pPr>
              <w:spacing w:after="0"/>
              <w:rPr>
                <w:sz w:val="20"/>
                <w:szCs w:val="20"/>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Loss before income taxes and income tax benefit</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(102,581)</w:t>
            </w:r>
          </w:p>
        </w:tc>
      </w:tr>
      <w:tr>
        <w:trPr>
          <w:trHeight w:val="209"/>
        </w:trPr>
        <w:tc>
          <w:tcPr>
            <w:tcW w:w="30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5"/>
                <w:szCs w:val="15"/>
                <w:color w:val="auto"/>
              </w:rPr>
              <w:t>Income tax benefit</w:t>
            </w:r>
          </w:p>
        </w:tc>
        <w:tc>
          <w:tcPr>
            <w:tcW w:w="30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300" w:type="dxa"/>
            <w:vAlign w:val="bottom"/>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0"/>
        </w:trPr>
        <w:tc>
          <w:tcPr>
            <w:tcW w:w="300" w:type="dxa"/>
            <w:vAlign w:val="bottom"/>
          </w:tcPr>
          <w:p>
            <w:pPr>
              <w:spacing w:after="0"/>
              <w:rPr>
                <w:sz w:val="19"/>
                <w:szCs w:val="19"/>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(102,581)</w:t>
            </w:r>
          </w:p>
        </w:tc>
      </w:tr>
      <w:tr>
        <w:trPr>
          <w:trHeight w:val="20"/>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2"/>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b w:val="1"/>
                <w:bCs w:val="1"/>
                <w:color w:val="0000FF"/>
                <w:w w:val="99"/>
              </w:rPr>
              <w:t>Table of Contents</w:t>
            </w:r>
          </w:p>
        </w:tc>
        <w:tc>
          <w:tcPr>
            <w:tcW w:w="642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9"/>
        </w:trPr>
        <w:tc>
          <w:tcPr>
            <w:tcW w:w="7580" w:type="dxa"/>
            <w:vAlign w:val="bottom"/>
            <w:gridSpan w:val="3"/>
          </w:tcPr>
          <w:p>
            <w:pPr>
              <w:ind w:left="540"/>
              <w:spacing w:after="0"/>
              <w:rPr>
                <w:sz w:val="20"/>
                <w:szCs w:val="20"/>
                <w:color w:val="auto"/>
              </w:rPr>
            </w:pPr>
            <w:r>
              <w:rPr>
                <w:rFonts w:ascii="Arial" w:cs="Arial" w:eastAsia="Arial" w:hAnsi="Arial"/>
                <w:sz w:val="15"/>
                <w:szCs w:val="15"/>
                <w:color w:val="auto"/>
              </w:rPr>
              <w:t>____________________________</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1"/>
        </w:trPr>
        <w:tc>
          <w:tcPr>
            <w:tcW w:w="300" w:type="dxa"/>
            <w:vAlign w:val="bottom"/>
          </w:tcPr>
          <w:p>
            <w:pPr>
              <w:spacing w:after="0"/>
              <w:rPr>
                <w:sz w:val="17"/>
                <w:szCs w:val="17"/>
                <w:color w:val="auto"/>
              </w:rPr>
            </w:pPr>
          </w:p>
        </w:tc>
        <w:tc>
          <w:tcPr>
            <w:tcW w:w="7400" w:type="dxa"/>
            <w:vAlign w:val="bottom"/>
            <w:gridSpan w:val="3"/>
          </w:tcPr>
          <w:p>
            <w:pPr>
              <w:ind w:left="240"/>
              <w:spacing w:after="0"/>
              <w:rPr>
                <w:sz w:val="20"/>
                <w:szCs w:val="20"/>
                <w:color w:val="auto"/>
              </w:rPr>
            </w:pPr>
            <w:r>
              <w:rPr>
                <w:rFonts w:ascii="Arial" w:cs="Arial" w:eastAsia="Arial" w:hAnsi="Arial"/>
                <w:sz w:val="15"/>
                <w:szCs w:val="15"/>
                <w:color w:val="auto"/>
              </w:rPr>
              <w:t>(1) Costs and operating expenses contain the following stock-based compensation expense:</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93"/>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Borders>
              <w:bottom w:val="single" w:sz="8" w:color="auto"/>
            </w:tcBorders>
            <w:gridSpan w:val="7"/>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19"/>
                <w:szCs w:val="19"/>
                <w:color w:val="auto"/>
              </w:rPr>
            </w:pPr>
          </w:p>
        </w:tc>
      </w:tr>
      <w:tr>
        <w:trPr>
          <w:trHeight w:val="256"/>
        </w:trPr>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gridSpan w:val="6"/>
          </w:tcPr>
          <w:p>
            <w:pPr>
              <w:jc w:val="right"/>
              <w:ind w:right="143"/>
              <w:spacing w:after="0"/>
              <w:rPr>
                <w:sz w:val="20"/>
                <w:szCs w:val="20"/>
                <w:color w:val="auto"/>
              </w:rPr>
            </w:pPr>
            <w:r>
              <w:rPr>
                <w:rFonts w:ascii="Arial" w:cs="Arial" w:eastAsia="Arial" w:hAnsi="Arial"/>
                <w:sz w:val="15"/>
                <w:szCs w:val="15"/>
                <w:b w:val="1"/>
                <w:bCs w:val="1"/>
                <w:color w:val="auto"/>
              </w:rPr>
              <w:t>(amounts in thousands)</w:t>
            </w:r>
          </w:p>
        </w:tc>
        <w:tc>
          <w:tcPr>
            <w:tcW w:w="540" w:type="dxa"/>
            <w:vAlign w:val="bottom"/>
          </w:tcPr>
          <w:p>
            <w:pPr>
              <w:spacing w:after="0"/>
              <w:rPr>
                <w:sz w:val="22"/>
                <w:szCs w:val="22"/>
                <w:color w:val="auto"/>
              </w:rPr>
            </w:pPr>
          </w:p>
        </w:tc>
      </w:tr>
      <w:tr>
        <w:trPr>
          <w:trHeight w:val="216"/>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Cost of services - Molecular profiling services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466</w:t>
            </w:r>
          </w:p>
        </w:tc>
      </w:tr>
      <w:tr>
        <w:trPr>
          <w:trHeight w:val="209"/>
        </w:trPr>
        <w:tc>
          <w:tcPr>
            <w:tcW w:w="30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Cost of services - Pharma research and development services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Selling and marketing expense</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3,816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1,243</w:t>
            </w:r>
          </w:p>
        </w:tc>
      </w:tr>
      <w:tr>
        <w:trPr>
          <w:trHeight w:val="209"/>
        </w:trPr>
        <w:tc>
          <w:tcPr>
            <w:tcW w:w="30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General and administrative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7,436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10,636</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7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Research and development expense</w:t>
            </w:r>
          </w:p>
        </w:tc>
        <w:tc>
          <w:tcPr>
            <w:tcW w:w="10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3,284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2,346</w:t>
            </w:r>
          </w:p>
        </w:tc>
      </w:tr>
      <w:tr>
        <w:trPr>
          <w:trHeight w:val="216"/>
        </w:trPr>
        <w:tc>
          <w:tcPr>
            <w:tcW w:w="30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Total</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15,872</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14,691</w:t>
            </w:r>
          </w:p>
        </w:tc>
      </w:tr>
      <w:tr>
        <w:trPr>
          <w:trHeight w:val="20"/>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95"/>
        </w:trPr>
        <w:tc>
          <w:tcPr>
            <w:tcW w:w="300" w:type="dxa"/>
            <w:vAlign w:val="bottom"/>
          </w:tcPr>
          <w:p>
            <w:pPr>
              <w:spacing w:after="0"/>
              <w:rPr>
                <w:sz w:val="24"/>
                <w:szCs w:val="24"/>
                <w:color w:val="auto"/>
              </w:rPr>
            </w:pPr>
          </w:p>
        </w:tc>
        <w:tc>
          <w:tcPr>
            <w:tcW w:w="8400" w:type="dxa"/>
            <w:vAlign w:val="bottom"/>
            <w:gridSpan w:val="4"/>
          </w:tcPr>
          <w:p>
            <w:pPr>
              <w:ind w:left="240"/>
              <w:spacing w:after="0"/>
              <w:rPr>
                <w:sz w:val="20"/>
                <w:szCs w:val="20"/>
                <w:color w:val="auto"/>
              </w:rPr>
            </w:pPr>
            <w:r>
              <w:rPr>
                <w:rFonts w:ascii="Arial" w:cs="Arial" w:eastAsia="Arial" w:hAnsi="Arial"/>
                <w:sz w:val="15"/>
                <w:szCs w:val="15"/>
                <w:color w:val="auto"/>
              </w:rPr>
              <w:t>The following table sets forth our results of operations as a percentage of revenue for the periods presented: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r>
      <w:tr>
        <w:trPr>
          <w:trHeight w:val="221"/>
        </w:trPr>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2026</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bottom w:val="single" w:sz="8" w:color="auto"/>
            </w:tcBorders>
          </w:tcPr>
          <w:p>
            <w:pPr>
              <w:spacing w:after="0"/>
              <w:rPr>
                <w:sz w:val="19"/>
                <w:szCs w:val="19"/>
                <w:color w:val="auto"/>
              </w:rPr>
            </w:pPr>
          </w:p>
        </w:tc>
      </w:tr>
      <w:tr>
        <w:trPr>
          <w:trHeight w:val="205"/>
        </w:trPr>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Revenue:</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400" w:type="dxa"/>
            <w:vAlign w:val="bottom"/>
            <w:gridSpan w:val="3"/>
          </w:tcPr>
          <w:p>
            <w:pPr>
              <w:ind w:left="140"/>
              <w:spacing w:after="0"/>
              <w:rPr>
                <w:sz w:val="20"/>
                <w:szCs w:val="20"/>
                <w:color w:val="auto"/>
              </w:rPr>
            </w:pPr>
            <w:r>
              <w:rPr>
                <w:rFonts w:ascii="Arial" w:cs="Arial" w:eastAsia="Arial" w:hAnsi="Arial"/>
                <w:sz w:val="15"/>
                <w:szCs w:val="15"/>
                <w:color w:val="auto"/>
              </w:rPr>
              <w:t>Molecular profiling services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94 %</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Pharma research and development services</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6 %</w:t>
            </w:r>
          </w:p>
        </w:tc>
      </w:tr>
      <w:tr>
        <w:trPr>
          <w:trHeight w:val="215"/>
        </w:trPr>
        <w:tc>
          <w:tcPr>
            <w:tcW w:w="300" w:type="dxa"/>
            <w:vAlign w:val="bottom"/>
          </w:tcPr>
          <w:p>
            <w:pPr>
              <w:spacing w:after="0"/>
              <w:rPr>
                <w:sz w:val="18"/>
                <w:szCs w:val="18"/>
                <w:color w:val="auto"/>
              </w:rPr>
            </w:pPr>
          </w:p>
        </w:tc>
        <w:tc>
          <w:tcPr>
            <w:tcW w:w="7280" w:type="dxa"/>
            <w:vAlign w:val="bottom"/>
            <w:gridSpan w:val="2"/>
          </w:tcPr>
          <w:p>
            <w:pPr>
              <w:ind w:left="280"/>
              <w:spacing w:after="0"/>
              <w:rPr>
                <w:sz w:val="20"/>
                <w:szCs w:val="20"/>
                <w:color w:val="auto"/>
              </w:rPr>
            </w:pPr>
            <w:r>
              <w:rPr>
                <w:rFonts w:ascii="Arial" w:cs="Arial" w:eastAsia="Arial" w:hAnsi="Arial"/>
                <w:sz w:val="15"/>
                <w:szCs w:val="15"/>
                <w:b w:val="1"/>
                <w:bCs w:val="1"/>
                <w:color w:val="auto"/>
              </w:rPr>
              <w:t>Total revenue</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100 %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100 %</w:t>
            </w:r>
          </w:p>
        </w:tc>
      </w:tr>
      <w:tr>
        <w:trPr>
          <w:trHeight w:val="216"/>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Costs and operating expenses:</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400" w:type="dxa"/>
            <w:vAlign w:val="bottom"/>
            <w:gridSpan w:val="3"/>
          </w:tcPr>
          <w:p>
            <w:pPr>
              <w:ind w:left="140"/>
              <w:spacing w:after="0"/>
              <w:rPr>
                <w:sz w:val="20"/>
                <w:szCs w:val="20"/>
                <w:color w:val="auto"/>
              </w:rPr>
            </w:pPr>
            <w:r>
              <w:rPr>
                <w:rFonts w:ascii="Arial" w:cs="Arial" w:eastAsia="Arial" w:hAnsi="Arial"/>
                <w:sz w:val="15"/>
                <w:szCs w:val="15"/>
                <w:color w:val="auto"/>
              </w:rPr>
              <w:t>Cost of Services - Molecular profiling services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Cost of Services - Pharma research and development services</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2 %</w:t>
            </w:r>
          </w:p>
        </w:tc>
      </w:tr>
      <w:tr>
        <w:trPr>
          <w:trHeight w:val="209"/>
        </w:trPr>
        <w:tc>
          <w:tcPr>
            <w:tcW w:w="300" w:type="dxa"/>
            <w:vAlign w:val="bottom"/>
          </w:tcPr>
          <w:p>
            <w:pPr>
              <w:spacing w:after="0"/>
              <w:rPr>
                <w:sz w:val="18"/>
                <w:szCs w:val="18"/>
                <w:color w:val="auto"/>
              </w:rPr>
            </w:pPr>
          </w:p>
        </w:tc>
        <w:tc>
          <w:tcPr>
            <w:tcW w:w="7400" w:type="dxa"/>
            <w:vAlign w:val="bottom"/>
            <w:gridSpan w:val="3"/>
          </w:tcPr>
          <w:p>
            <w:pPr>
              <w:ind w:left="140"/>
              <w:spacing w:after="0"/>
              <w:rPr>
                <w:sz w:val="20"/>
                <w:szCs w:val="20"/>
                <w:color w:val="auto"/>
              </w:rPr>
            </w:pPr>
            <w:r>
              <w:rPr>
                <w:rFonts w:ascii="Arial" w:cs="Arial" w:eastAsia="Arial" w:hAnsi="Arial"/>
                <w:sz w:val="15"/>
                <w:szCs w:val="15"/>
                <w:color w:val="auto"/>
              </w:rPr>
              <w:t>Selling and marketing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33 %</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43 %</w:t>
            </w:r>
          </w:p>
        </w:tc>
      </w:tr>
      <w:tr>
        <w:trPr>
          <w:trHeight w:val="209"/>
        </w:trPr>
        <w:tc>
          <w:tcPr>
            <w:tcW w:w="300" w:type="dxa"/>
            <w:vAlign w:val="bottom"/>
          </w:tcPr>
          <w:p>
            <w:pPr>
              <w:spacing w:after="0"/>
              <w:rPr>
                <w:sz w:val="18"/>
                <w:szCs w:val="18"/>
                <w:color w:val="auto"/>
              </w:rPr>
            </w:pPr>
          </w:p>
        </w:tc>
        <w:tc>
          <w:tcPr>
            <w:tcW w:w="7400" w:type="dxa"/>
            <w:vAlign w:val="bottom"/>
            <w:gridSpan w:val="3"/>
          </w:tcPr>
          <w:p>
            <w:pPr>
              <w:ind w:left="140"/>
              <w:spacing w:after="0"/>
              <w:rPr>
                <w:sz w:val="20"/>
                <w:szCs w:val="20"/>
                <w:color w:val="auto"/>
              </w:rPr>
            </w:pPr>
            <w:r>
              <w:rPr>
                <w:rFonts w:ascii="Arial" w:cs="Arial" w:eastAsia="Arial" w:hAnsi="Arial"/>
                <w:sz w:val="15"/>
                <w:szCs w:val="15"/>
                <w:color w:val="auto"/>
              </w:rPr>
              <w:t>Research and development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19 %</w:t>
            </w:r>
          </w:p>
        </w:tc>
      </w:tr>
      <w:tr>
        <w:trPr>
          <w:trHeight w:val="21"/>
        </w:trPr>
        <w:tc>
          <w:tcPr>
            <w:tcW w:w="300" w:type="dxa"/>
            <w:vAlign w:val="bottom"/>
          </w:tcPr>
          <w:p>
            <w:pPr>
              <w:spacing w:after="0" w:line="20" w:lineRule="exact"/>
              <w:rPr>
                <w:sz w:val="1"/>
                <w:szCs w:val="1"/>
                <w:color w:val="auto"/>
              </w:rPr>
            </w:pPr>
          </w:p>
        </w:tc>
        <w:tc>
          <w:tcPr>
            <w:tcW w:w="728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7400" w:type="dxa"/>
            <w:vAlign w:val="bottom"/>
            <w:gridSpan w:val="3"/>
            <w:shd w:val="clear" w:color="auto" w:fill="CCEEFF"/>
          </w:tcPr>
          <w:p>
            <w:pPr>
              <w:ind w:left="280"/>
              <w:spacing w:after="0"/>
              <w:rPr>
                <w:sz w:val="20"/>
                <w:szCs w:val="20"/>
                <w:color w:val="auto"/>
              </w:rPr>
            </w:pPr>
            <w:r>
              <w:rPr>
                <w:rFonts w:ascii="Arial" w:cs="Arial" w:eastAsia="Arial" w:hAnsi="Arial"/>
                <w:sz w:val="15"/>
                <w:szCs w:val="15"/>
                <w:b w:val="1"/>
                <w:bCs w:val="1"/>
                <w:color w:val="auto"/>
              </w:rPr>
              <w:t>Total costs and operating expenses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148 %</w:t>
            </w:r>
          </w:p>
        </w:tc>
      </w:tr>
      <w:tr>
        <w:trPr>
          <w:trHeight w:val="209"/>
        </w:trPr>
        <w:tc>
          <w:tcPr>
            <w:tcW w:w="30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Income (Loss) from operations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Other expense, net:</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400" w:type="dxa"/>
            <w:vAlign w:val="bottom"/>
            <w:gridSpan w:val="3"/>
          </w:tcPr>
          <w:p>
            <w:pPr>
              <w:ind w:left="140"/>
              <w:spacing w:after="0"/>
              <w:rPr>
                <w:sz w:val="20"/>
                <w:szCs w:val="20"/>
                <w:color w:val="auto"/>
              </w:rPr>
            </w:pPr>
            <w:r>
              <w:rPr>
                <w:rFonts w:ascii="Arial" w:cs="Arial" w:eastAsia="Arial" w:hAnsi="Arial"/>
                <w:sz w:val="15"/>
                <w:szCs w:val="15"/>
                <w:color w:val="auto"/>
              </w:rPr>
              <w:t>Interest income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9"/>
        </w:trPr>
        <w:tc>
          <w:tcPr>
            <w:tcW w:w="300" w:type="dxa"/>
            <w:vAlign w:val="bottom"/>
          </w:tcPr>
          <w:p>
            <w:pPr>
              <w:spacing w:after="0"/>
              <w:rPr>
                <w:sz w:val="18"/>
                <w:szCs w:val="18"/>
                <w:color w:val="auto"/>
              </w:rPr>
            </w:pPr>
          </w:p>
        </w:tc>
        <w:tc>
          <w:tcPr>
            <w:tcW w:w="7400" w:type="dxa"/>
            <w:vAlign w:val="bottom"/>
            <w:gridSpan w:val="3"/>
          </w:tcPr>
          <w:p>
            <w:pPr>
              <w:ind w:left="140"/>
              <w:spacing w:after="0"/>
              <w:rPr>
                <w:sz w:val="20"/>
                <w:szCs w:val="20"/>
                <w:color w:val="auto"/>
              </w:rPr>
            </w:pPr>
            <w:r>
              <w:rPr>
                <w:rFonts w:ascii="Arial" w:cs="Arial" w:eastAsia="Arial" w:hAnsi="Arial"/>
                <w:sz w:val="15"/>
                <w:szCs w:val="15"/>
                <w:color w:val="auto"/>
              </w:rPr>
              <w:t>Changes in fair value of financial instruments</w:t>
            </w:r>
          </w:p>
        </w:tc>
        <w:tc>
          <w:tcPr>
            <w:tcW w:w="100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5"/>
                <w:szCs w:val="15"/>
                <w:color w:val="auto"/>
              </w:rPr>
              <w:t>— %</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1"/>
        </w:trPr>
        <w:tc>
          <w:tcPr>
            <w:tcW w:w="300" w:type="dxa"/>
            <w:vAlign w:val="bottom"/>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74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Other income (expense), net</w:t>
            </w:r>
          </w:p>
        </w:tc>
        <w:tc>
          <w:tcPr>
            <w:tcW w:w="10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 %</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15"/>
        </w:trPr>
        <w:tc>
          <w:tcPr>
            <w:tcW w:w="300" w:type="dxa"/>
            <w:vAlign w:val="bottom"/>
          </w:tcPr>
          <w:p>
            <w:pPr>
              <w:spacing w:after="0"/>
              <w:rPr>
                <w:sz w:val="18"/>
                <w:szCs w:val="18"/>
                <w:color w:val="auto"/>
              </w:rPr>
            </w:pPr>
          </w:p>
        </w:tc>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b w:val="1"/>
                <w:bCs w:val="1"/>
                <w:color w:val="auto"/>
              </w:rPr>
              <w:t>Total other expense, net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w:t>
            </w:r>
          </w:p>
        </w:tc>
      </w:tr>
      <w:tr>
        <w:trPr>
          <w:trHeight w:val="228"/>
        </w:trPr>
        <w:tc>
          <w:tcPr>
            <w:tcW w:w="300" w:type="dxa"/>
            <w:vAlign w:val="bottom"/>
          </w:tcPr>
          <w:p>
            <w:pPr>
              <w:spacing w:after="0"/>
              <w:rPr>
                <w:sz w:val="19"/>
                <w:szCs w:val="19"/>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Loss before income taxes and income tax benefit</w:t>
            </w:r>
          </w:p>
        </w:tc>
        <w:tc>
          <w:tcPr>
            <w:tcW w:w="100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 %</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w:t>
            </w:r>
          </w:p>
        </w:tc>
      </w:tr>
      <w:tr>
        <w:trPr>
          <w:trHeight w:val="209"/>
        </w:trPr>
        <w:tc>
          <w:tcPr>
            <w:tcW w:w="30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5"/>
                <w:szCs w:val="15"/>
                <w:color w:val="auto"/>
              </w:rPr>
              <w:t>Income tax benefit</w:t>
            </w:r>
          </w:p>
        </w:tc>
        <w:tc>
          <w:tcPr>
            <w:tcW w:w="100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5"/>
                <w:szCs w:val="15"/>
                <w:color w:val="auto"/>
              </w:rPr>
              <w:t>— %</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1"/>
        </w:trPr>
        <w:tc>
          <w:tcPr>
            <w:tcW w:w="300" w:type="dxa"/>
            <w:vAlign w:val="bottom"/>
          </w:tcPr>
          <w:p>
            <w:pPr>
              <w:spacing w:after="0" w:line="20" w:lineRule="exact"/>
              <w:rPr>
                <w:sz w:val="1"/>
                <w:szCs w:val="1"/>
                <w:color w:val="auto"/>
              </w:rPr>
            </w:pPr>
          </w:p>
        </w:tc>
        <w:tc>
          <w:tcPr>
            <w:tcW w:w="728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41"/>
        </w:trPr>
        <w:tc>
          <w:tcPr>
            <w:tcW w:w="300" w:type="dxa"/>
            <w:vAlign w:val="bottom"/>
          </w:tcPr>
          <w:p>
            <w:pPr>
              <w:spacing w:after="0"/>
              <w:rPr>
                <w:sz w:val="20"/>
                <w:szCs w:val="20"/>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100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 %</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w:t>
            </w:r>
          </w:p>
        </w:tc>
      </w:tr>
      <w:tr>
        <w:trPr>
          <w:trHeight w:val="20"/>
        </w:trPr>
        <w:tc>
          <w:tcPr>
            <w:tcW w:w="30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960"/>
          </w:cols>
          <w:pgMar w:left="320" w:top="116" w:right="6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128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b w:val="1"/>
                <w:bCs w:val="1"/>
                <w:color w:val="0000FF"/>
                <w:w w:val="99"/>
              </w:rPr>
              <w:t>Table of Contents</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13"/>
        </w:trPr>
        <w:tc>
          <w:tcPr>
            <w:tcW w:w="560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Comparison of the Three Months Ended March 31, 2026 and 2025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3"/>
        </w:trPr>
        <w:tc>
          <w:tcPr>
            <w:tcW w:w="560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Revenue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15"/>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March 31,</w:t>
            </w:r>
          </w:p>
        </w:tc>
        <w:tc>
          <w:tcPr>
            <w:tcW w:w="340" w:type="dxa"/>
            <w:vAlign w:val="bottom"/>
          </w:tcPr>
          <w:p>
            <w:pPr>
              <w:spacing w:after="0"/>
              <w:rPr>
                <w:sz w:val="24"/>
                <w:szCs w:val="24"/>
                <w:color w:val="auto"/>
              </w:rPr>
            </w:pPr>
          </w:p>
        </w:tc>
        <w:tc>
          <w:tcPr>
            <w:tcW w:w="1440" w:type="dxa"/>
            <w:vAlign w:val="bottom"/>
            <w:gridSpan w:val="3"/>
          </w:tcPr>
          <w:p>
            <w:pPr>
              <w:ind w:left="72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24"/>
                <w:szCs w:val="24"/>
                <w:color w:val="auto"/>
              </w:rPr>
            </w:pPr>
          </w:p>
        </w:tc>
      </w:tr>
      <w:tr>
        <w:trPr>
          <w:trHeight w:val="221"/>
        </w:trPr>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r>
      <w:tr>
        <w:trPr>
          <w:trHeight w:val="256"/>
        </w:trPr>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40" w:type="dxa"/>
            <w:vAlign w:val="bottom"/>
            <w:gridSpan w:val="6"/>
          </w:tcPr>
          <w:p>
            <w:pPr>
              <w:ind w:left="200"/>
              <w:spacing w:after="0"/>
              <w:rPr>
                <w:sz w:val="20"/>
                <w:szCs w:val="20"/>
                <w:color w:val="auto"/>
              </w:rPr>
            </w:pPr>
            <w:r>
              <w:rPr>
                <w:rFonts w:ascii="Arial" w:cs="Arial" w:eastAsia="Arial" w:hAnsi="Arial"/>
                <w:sz w:val="15"/>
                <w:szCs w:val="15"/>
                <w:b w:val="1"/>
                <w:bCs w:val="1"/>
                <w:color w:val="auto"/>
              </w:rPr>
              <w:t>(amounts in thousands)</w:t>
            </w:r>
          </w:p>
        </w:tc>
        <w:tc>
          <w:tcPr>
            <w:tcW w:w="920" w:type="dxa"/>
            <w:vAlign w:val="bottom"/>
          </w:tcPr>
          <w:p>
            <w:pPr>
              <w:spacing w:after="0"/>
              <w:rPr>
                <w:sz w:val="22"/>
                <w:szCs w:val="22"/>
                <w:color w:val="auto"/>
              </w:rPr>
            </w:pPr>
          </w:p>
        </w:tc>
      </w:tr>
      <w:tr>
        <w:trPr>
          <w:trHeight w:val="216"/>
        </w:trPr>
        <w:tc>
          <w:tcPr>
            <w:tcW w:w="300" w:type="dxa"/>
            <w:vAlign w:val="bottom"/>
          </w:tcPr>
          <w:p>
            <w:pPr>
              <w:spacing w:after="0"/>
              <w:rPr>
                <w:sz w:val="18"/>
                <w:szCs w:val="18"/>
                <w:color w:val="auto"/>
              </w:rPr>
            </w:pPr>
          </w:p>
        </w:tc>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Molecular profiling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210,800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114,081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96,719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84.8 %</w:t>
            </w:r>
          </w:p>
        </w:tc>
      </w:tr>
      <w:tr>
        <w:trPr>
          <w:trHeight w:val="209"/>
        </w:trPr>
        <w:tc>
          <w:tcPr>
            <w:tcW w:w="30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5"/>
                <w:szCs w:val="15"/>
                <w:color w:val="auto"/>
              </w:rPr>
              <w:t>Pharma research and development services</w:t>
            </w:r>
          </w:p>
        </w:tc>
        <w:tc>
          <w:tcPr>
            <w:tcW w:w="1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5,374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21"/>
        </w:trPr>
        <w:tc>
          <w:tcPr>
            <w:tcW w:w="300" w:type="dxa"/>
            <w:vAlign w:val="bottom"/>
          </w:tcPr>
          <w:p>
            <w:pPr>
              <w:spacing w:after="0" w:line="20" w:lineRule="exact"/>
              <w:rPr>
                <w:sz w:val="1"/>
                <w:szCs w:val="1"/>
                <w:color w:val="auto"/>
              </w:rPr>
            </w:pPr>
          </w:p>
        </w:tc>
        <w:tc>
          <w:tcPr>
            <w:tcW w:w="5300" w:type="dxa"/>
            <w:vAlign w:val="bottom"/>
            <w:tcBorders>
              <w:bottom w:val="single" w:sz="8" w:color="CCEEFF"/>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216,174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120,915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95,259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78.8 %</w:t>
            </w:r>
          </w:p>
        </w:tc>
      </w:tr>
      <w:tr>
        <w:trPr>
          <w:trHeight w:val="20"/>
        </w:trPr>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551"/>
        <w:spacing w:after="0" w:line="294" w:lineRule="auto"/>
        <w:rPr>
          <w:sz w:val="20"/>
          <w:szCs w:val="20"/>
          <w:color w:val="auto"/>
        </w:rPr>
      </w:pPr>
      <w:r>
        <w:rPr>
          <w:rFonts w:ascii="Arial" w:cs="Arial" w:eastAsia="Arial" w:hAnsi="Arial"/>
          <w:sz w:val="15"/>
          <w:szCs w:val="15"/>
          <w:color w:val="auto"/>
        </w:rPr>
        <w:t>Total revenue was $ 216.2 million for the three months ended March 31, 2026, compared to $120.9 million for the three months ended March 31, 2025, an increase of $95.3 million, or 78.8%.</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Molecular Profiling Services Revenue</w:t>
      </w:r>
    </w:p>
    <w:p>
      <w:pPr>
        <w:spacing w:after="0" w:line="161" w:lineRule="exact"/>
        <w:rPr>
          <w:sz w:val="20"/>
          <w:szCs w:val="20"/>
          <w:color w:val="auto"/>
        </w:rPr>
      </w:pPr>
    </w:p>
    <w:p>
      <w:pPr>
        <w:ind w:right="140" w:firstLine="551"/>
        <w:spacing w:after="0" w:line="294" w:lineRule="auto"/>
        <w:rPr>
          <w:sz w:val="20"/>
          <w:szCs w:val="20"/>
          <w:color w:val="auto"/>
        </w:rPr>
      </w:pPr>
      <w:r>
        <w:rPr>
          <w:rFonts w:ascii="Arial" w:cs="Arial" w:eastAsia="Arial" w:hAnsi="Arial"/>
          <w:sz w:val="15"/>
          <w:szCs w:val="15"/>
          <w:color w:val="auto"/>
        </w:rPr>
        <w:t>Molecular profiling services revenue increased to $210.8 million for the three months ended March 31, 2026, from $114.1 million for the three months ended March 31, 2025, an increase of $96.7 million, or 84.8%.</w:t>
      </w:r>
    </w:p>
    <w:p>
      <w:pPr>
        <w:spacing w:after="0" w:line="106" w:lineRule="exact"/>
        <w:rPr>
          <w:sz w:val="20"/>
          <w:szCs w:val="20"/>
          <w:color w:val="auto"/>
        </w:rPr>
      </w:pPr>
    </w:p>
    <w:p>
      <w:pPr>
        <w:ind w:right="60" w:firstLine="551"/>
        <w:spacing w:after="0" w:line="268" w:lineRule="auto"/>
        <w:rPr>
          <w:sz w:val="20"/>
          <w:szCs w:val="20"/>
          <w:color w:val="auto"/>
        </w:rPr>
      </w:pPr>
      <w:r>
        <w:rPr>
          <w:rFonts w:ascii="Arial" w:cs="Arial" w:eastAsia="Arial" w:hAnsi="Arial"/>
          <w:sz w:val="15"/>
          <w:szCs w:val="15"/>
          <w:color w:val="auto"/>
        </w:rPr>
        <w:t>MI Profile and Caris Assure clinical testing revenue increased year over year, driven primarily by higher reimbursement and higher clinical case volume. The average selling price for our MI Profile platform increased due to the launch of MI Cancer Seek and the associated higher reimbursement. In addition, therapy selection clinical cases increased from 40,100 MI Profile cases and 5,800 Caris Assure cases for the three months ended March 31, 2025, to 43,600 MI Profile cases and 9,200 Caris Assure cases for the three months ended March 31, 2026.</w:t>
      </w:r>
    </w:p>
    <w:p>
      <w:pPr>
        <w:spacing w:after="0" w:line="114"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Revenue from clinical cases for patients covered by Medicare represented approximately 41.2% and 54.3% of our molecular profiling services revenue for the three months ended March 31, 2026 and 2025,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Pharma Research and Development Services Revenue</w:t>
      </w:r>
    </w:p>
    <w:p>
      <w:pPr>
        <w:spacing w:after="0" w:line="172" w:lineRule="exact"/>
        <w:rPr>
          <w:sz w:val="20"/>
          <w:szCs w:val="20"/>
          <w:color w:val="auto"/>
        </w:rPr>
      </w:pPr>
    </w:p>
    <w:p>
      <w:pPr>
        <w:ind w:right="200" w:firstLine="551"/>
        <w:spacing w:after="0" w:line="294" w:lineRule="auto"/>
        <w:rPr>
          <w:sz w:val="20"/>
          <w:szCs w:val="20"/>
          <w:color w:val="auto"/>
        </w:rPr>
      </w:pPr>
      <w:r>
        <w:rPr>
          <w:rFonts w:ascii="Arial" w:cs="Arial" w:eastAsia="Arial" w:hAnsi="Arial"/>
          <w:sz w:val="15"/>
          <w:szCs w:val="15"/>
          <w:color w:val="auto"/>
        </w:rPr>
        <w:t>Pharma research and development services revenue decreased to $5.4 million for the three months ended March 31, 2026, from $6.8 million for the three months ended March 31, 2025, a decrease of $1.5 million, or 21.4%. The decrease is a result of the timing of delivery of services under the applicable agreements.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of Services</w:t>
      </w:r>
    </w:p>
    <w:p>
      <w:pPr>
        <w:spacing w:after="0" w:line="390"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680" w:type="dxa"/>
            <w:vAlign w:val="bottom"/>
          </w:tcPr>
          <w:p>
            <w:pPr>
              <w:spacing w:after="0"/>
              <w:rPr>
                <w:sz w:val="18"/>
                <w:szCs w:val="18"/>
                <w:color w:val="auto"/>
              </w:rPr>
            </w:pPr>
          </w:p>
        </w:tc>
        <w:tc>
          <w:tcPr>
            <w:tcW w:w="1100" w:type="dxa"/>
            <w:vAlign w:val="bottom"/>
            <w:gridSpan w:val="3"/>
          </w:tcPr>
          <w:p>
            <w:pPr>
              <w:ind w:left="38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18"/>
                <w:szCs w:val="18"/>
                <w:color w:val="auto"/>
              </w:rPr>
            </w:pPr>
          </w:p>
        </w:tc>
      </w:tr>
      <w:tr>
        <w:trPr>
          <w:trHeight w:val="221"/>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r>
      <w:tr>
        <w:trPr>
          <w:trHeight w:val="256"/>
        </w:trPr>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40" w:type="dxa"/>
            <w:vAlign w:val="bottom"/>
            <w:gridSpan w:val="6"/>
          </w:tcPr>
          <w:p>
            <w:pPr>
              <w:ind w:left="200"/>
              <w:spacing w:after="0"/>
              <w:rPr>
                <w:sz w:val="20"/>
                <w:szCs w:val="20"/>
                <w:color w:val="auto"/>
              </w:rPr>
            </w:pPr>
            <w:r>
              <w:rPr>
                <w:rFonts w:ascii="Arial" w:cs="Arial" w:eastAsia="Arial" w:hAnsi="Arial"/>
                <w:sz w:val="15"/>
                <w:szCs w:val="15"/>
                <w:b w:val="1"/>
                <w:bCs w:val="1"/>
                <w:color w:val="auto"/>
              </w:rPr>
              <w:t>(amounts in thousands)</w:t>
            </w:r>
          </w:p>
        </w:tc>
        <w:tc>
          <w:tcPr>
            <w:tcW w:w="920" w:type="dxa"/>
            <w:vAlign w:val="bottom"/>
          </w:tcPr>
          <w:p>
            <w:pPr>
              <w:spacing w:after="0"/>
              <w:rPr>
                <w:sz w:val="22"/>
                <w:szCs w:val="22"/>
                <w:color w:val="auto"/>
              </w:rPr>
            </w:pPr>
          </w:p>
        </w:tc>
      </w:tr>
      <w:tr>
        <w:trPr>
          <w:trHeight w:val="21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services - Molecular profiling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72,884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60,894</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11,990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19.7 %</w:t>
            </w:r>
          </w:p>
        </w:tc>
      </w:tr>
      <w:tr>
        <w:trPr>
          <w:trHeight w:val="209"/>
        </w:trPr>
        <w:tc>
          <w:tcPr>
            <w:tcW w:w="5300" w:type="dxa"/>
            <w:vAlign w:val="bottom"/>
          </w:tcPr>
          <w:p>
            <w:pPr>
              <w:ind w:left="20"/>
              <w:spacing w:after="0"/>
              <w:rPr>
                <w:sz w:val="20"/>
                <w:szCs w:val="20"/>
                <w:color w:val="auto"/>
              </w:rPr>
            </w:pPr>
            <w:r>
              <w:rPr>
                <w:rFonts w:ascii="Arial" w:cs="Arial" w:eastAsia="Arial" w:hAnsi="Arial"/>
                <w:sz w:val="15"/>
                <w:szCs w:val="15"/>
                <w:color w:val="auto"/>
              </w:rPr>
              <w:t>Cost of services - Pharma research and development services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1,942</w:t>
            </w:r>
          </w:p>
        </w:tc>
        <w:tc>
          <w:tcPr>
            <w:tcW w:w="8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2,958</w:t>
            </w:r>
          </w:p>
        </w:tc>
        <w:tc>
          <w:tcPr>
            <w:tcW w:w="100" w:type="dxa"/>
            <w:vAlign w:val="bottom"/>
          </w:tcPr>
          <w:p>
            <w:pPr>
              <w:spacing w:after="0"/>
              <w:rPr>
                <w:sz w:val="18"/>
                <w:szCs w:val="18"/>
                <w:color w:val="auto"/>
              </w:rPr>
            </w:pP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w:t>
            </w:r>
          </w:p>
        </w:tc>
        <w:tc>
          <w:tcPr>
            <w:tcW w:w="560" w:type="dxa"/>
            <w:vAlign w:val="bottom"/>
          </w:tcPr>
          <w:p>
            <w:pPr>
              <w:ind w:left="40"/>
              <w:spacing w:after="0"/>
              <w:rPr>
                <w:sz w:val="20"/>
                <w:szCs w:val="20"/>
                <w:color w:val="auto"/>
              </w:rPr>
            </w:pPr>
            <w:r>
              <w:rPr>
                <w:rFonts w:ascii="Arial" w:cs="Arial" w:eastAsia="Arial" w:hAnsi="Arial"/>
                <w:sz w:val="15"/>
                <w:szCs w:val="15"/>
                <w:color w:val="auto"/>
              </w:rPr>
              <w:t>(1,016)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(34.3)%</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Services - Molecular Profiling Services</w:t>
      </w:r>
    </w:p>
    <w:p>
      <w:pPr>
        <w:spacing w:after="0" w:line="172" w:lineRule="exact"/>
        <w:rPr>
          <w:sz w:val="20"/>
          <w:szCs w:val="20"/>
          <w:color w:val="auto"/>
        </w:rPr>
      </w:pPr>
    </w:p>
    <w:p>
      <w:pPr>
        <w:ind w:right="160" w:firstLine="551"/>
        <w:spacing w:after="0" w:line="294" w:lineRule="auto"/>
        <w:rPr>
          <w:sz w:val="20"/>
          <w:szCs w:val="20"/>
          <w:color w:val="auto"/>
        </w:rPr>
      </w:pPr>
      <w:r>
        <w:rPr>
          <w:rFonts w:ascii="Arial" w:cs="Arial" w:eastAsia="Arial" w:hAnsi="Arial"/>
          <w:sz w:val="15"/>
          <w:szCs w:val="15"/>
          <w:color w:val="auto"/>
        </w:rPr>
        <w:t>Cost of services - Molecular profiling services was $72.9 million for the three months ended March 31, 2026, compared to $60.9 million for the three months ended March 31, 2025, an increase of $12.0 million, or 19.7%.</w:t>
      </w:r>
    </w:p>
    <w:p>
      <w:pPr>
        <w:spacing w:after="0" w:line="94" w:lineRule="exact"/>
        <w:rPr>
          <w:sz w:val="20"/>
          <w:szCs w:val="20"/>
          <w:color w:val="auto"/>
        </w:rPr>
      </w:pPr>
    </w:p>
    <w:p>
      <w:pPr>
        <w:ind w:right="60" w:firstLine="551"/>
        <w:spacing w:after="0" w:line="268" w:lineRule="auto"/>
        <w:rPr>
          <w:sz w:val="20"/>
          <w:szCs w:val="20"/>
          <w:color w:val="auto"/>
        </w:rPr>
      </w:pPr>
      <w:r>
        <w:rPr>
          <w:rFonts w:ascii="Arial" w:cs="Arial" w:eastAsia="Arial" w:hAnsi="Arial"/>
          <w:sz w:val="15"/>
          <w:szCs w:val="15"/>
          <w:color w:val="auto"/>
        </w:rPr>
        <w:t>The blood laboratory contributed an $8.6 million increase, in addition to an increase within the tissue laboratory of $3.4 million. The blood laboratory increase was primarily driven by an increase in materials and related testing costs of $8.1 million, an increase in labor costs of $0.7 million, and a $0.7 million increase in utilities, rent, and allocated overhead, offset by a decrease in depreciation expense of $0.8 million. The tissue laboratory increase was driven primarily by an increase in materials and related testing costs of $1.9 million, and an increase in labor costs of $2.6 million, offset by a decrease in depreciation expense of $0.6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Services - Pharma Research and Development Services</w:t>
      </w:r>
    </w:p>
    <w:p>
      <w:pPr>
        <w:spacing w:after="0" w:line="161" w:lineRule="exact"/>
        <w:rPr>
          <w:sz w:val="20"/>
          <w:szCs w:val="20"/>
          <w:color w:val="auto"/>
        </w:rPr>
      </w:pPr>
    </w:p>
    <w:p>
      <w:pPr>
        <w:jc w:val="both"/>
        <w:ind w:right="160" w:firstLine="551"/>
        <w:spacing w:after="0" w:line="275" w:lineRule="auto"/>
        <w:rPr>
          <w:sz w:val="20"/>
          <w:szCs w:val="20"/>
          <w:color w:val="auto"/>
        </w:rPr>
      </w:pPr>
      <w:r>
        <w:rPr>
          <w:rFonts w:ascii="Arial" w:cs="Arial" w:eastAsia="Arial" w:hAnsi="Arial"/>
          <w:sz w:val="15"/>
          <w:szCs w:val="15"/>
          <w:color w:val="auto"/>
        </w:rPr>
        <w:t>Cost of services - Pharma research and development services was $1.9 million for the three months ended March 31, 2026, compared to $3.0 million for the three months ended March 31, 2025, a decrease of $1.0 million, or 34.3%. The decrease was driven primarily by a decrease in materials and related testing costs of $0.7 million, and a $0.5 million decrease in utilities, rent, and allocated overhead, offset by a decrease in labor costs of $0.4 million.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Gross Profit</w:t>
      </w:r>
    </w:p>
    <w:p>
      <w:pPr>
        <w:spacing w:after="0" w:line="161" w:lineRule="exact"/>
        <w:rPr>
          <w:sz w:val="20"/>
          <w:szCs w:val="20"/>
          <w:color w:val="auto"/>
        </w:rPr>
      </w:pPr>
    </w:p>
    <w:p>
      <w:pPr>
        <w:ind w:right="220" w:firstLine="551"/>
        <w:spacing w:after="0" w:line="294" w:lineRule="auto"/>
        <w:rPr>
          <w:sz w:val="20"/>
          <w:szCs w:val="20"/>
          <w:color w:val="auto"/>
        </w:rPr>
      </w:pPr>
      <w:r>
        <w:rPr>
          <w:rFonts w:ascii="Arial" w:cs="Arial" w:eastAsia="Arial" w:hAnsi="Arial"/>
          <w:sz w:val="15"/>
          <w:szCs w:val="15"/>
          <w:color w:val="auto"/>
        </w:rPr>
        <w:t>Gross profit, calculated as total revenue less cost of services, was $141.3 million for the three months ended March 31, 2026, compared to $57.1 million for the three months ended March 31, 2025, an increase of $84.3 million, or 147.7%, primarily due to the increase in molecular profiling services revenue.</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and Marketing Expense</w:t>
      </w:r>
    </w:p>
    <w:p>
      <w:pPr>
        <w:spacing w:after="0" w:line="200" w:lineRule="exact"/>
        <w:rPr>
          <w:sz w:val="20"/>
          <w:szCs w:val="20"/>
          <w:color w:val="auto"/>
        </w:rPr>
      </w:pP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March 31,</w:t>
            </w:r>
          </w:p>
        </w:tc>
        <w:tc>
          <w:tcPr>
            <w:tcW w:w="72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18"/>
                <w:szCs w:val="18"/>
                <w:color w:val="auto"/>
              </w:rPr>
            </w:pPr>
          </w:p>
        </w:tc>
      </w:tr>
      <w:tr>
        <w:trPr>
          <w:trHeight w:val="221"/>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r>
      <w:tr>
        <w:trPr>
          <w:trHeight w:val="256"/>
        </w:trPr>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40" w:type="dxa"/>
            <w:vAlign w:val="bottom"/>
            <w:gridSpan w:val="6"/>
          </w:tcPr>
          <w:p>
            <w:pPr>
              <w:ind w:left="200"/>
              <w:spacing w:after="0"/>
              <w:rPr>
                <w:sz w:val="20"/>
                <w:szCs w:val="20"/>
                <w:color w:val="auto"/>
              </w:rPr>
            </w:pPr>
            <w:r>
              <w:rPr>
                <w:rFonts w:ascii="Arial" w:cs="Arial" w:eastAsia="Arial" w:hAnsi="Arial"/>
                <w:sz w:val="15"/>
                <w:szCs w:val="15"/>
                <w:b w:val="1"/>
                <w:bCs w:val="1"/>
                <w:color w:val="auto"/>
              </w:rPr>
              <w:t>(amounts in thousands)</w:t>
            </w:r>
          </w:p>
        </w:tc>
        <w:tc>
          <w:tcPr>
            <w:tcW w:w="920" w:type="dxa"/>
            <w:vAlign w:val="bottom"/>
          </w:tcPr>
          <w:p>
            <w:pPr>
              <w:spacing w:after="0"/>
              <w:rPr>
                <w:sz w:val="22"/>
                <w:szCs w:val="22"/>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and marketing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45,043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39,829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13.1 %</w:t>
            </w:r>
          </w:p>
        </w:tc>
      </w:tr>
      <w:tr>
        <w:trPr>
          <w:trHeight w:val="21"/>
        </w:trPr>
        <w:tc>
          <w:tcPr>
            <w:tcW w:w="5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Selling and marketing expenses were $45.0 million for the three months ended March 31, 2026, compared to $39.8 million for the three months ended</w:t>
      </w:r>
    </w:p>
    <w:p>
      <w:pPr>
        <w:spacing w:after="0" w:line="25"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March 31, 2025, an increase of $5.2 million, or 13.1%. This increase was primarily due to a $2.3 million increase in personnel costs to support existing solutions, and a $2.6 million increase in professional services and travel and marketing expenses.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 Expense</w:t>
      </w:r>
    </w:p>
    <w:p>
      <w:pPr>
        <w:spacing w:after="0" w:line="390"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70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18"/>
                <w:szCs w:val="18"/>
                <w:color w:val="auto"/>
              </w:rPr>
            </w:pPr>
          </w:p>
        </w:tc>
      </w:tr>
      <w:tr>
        <w:trPr>
          <w:trHeight w:val="221"/>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r>
      <w:tr>
        <w:trPr>
          <w:trHeight w:val="256"/>
        </w:trPr>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6"/>
          </w:tcPr>
          <w:p>
            <w:pPr>
              <w:ind w:left="200"/>
              <w:spacing w:after="0"/>
              <w:rPr>
                <w:sz w:val="20"/>
                <w:szCs w:val="20"/>
                <w:color w:val="auto"/>
              </w:rPr>
            </w:pPr>
            <w:r>
              <w:rPr>
                <w:rFonts w:ascii="Arial" w:cs="Arial" w:eastAsia="Arial" w:hAnsi="Arial"/>
                <w:sz w:val="15"/>
                <w:szCs w:val="15"/>
                <w:b w:val="1"/>
                <w:bCs w:val="1"/>
                <w:color w:val="auto"/>
              </w:rPr>
              <w:t>(amounts in thousands)</w:t>
            </w:r>
          </w:p>
        </w:tc>
        <w:tc>
          <w:tcPr>
            <w:tcW w:w="920" w:type="dxa"/>
            <w:vAlign w:val="bottom"/>
          </w:tcPr>
          <w:p>
            <w:pPr>
              <w:spacing w:after="0"/>
              <w:rPr>
                <w:sz w:val="22"/>
                <w:szCs w:val="22"/>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52,119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14.6 %</w:t>
            </w:r>
          </w:p>
        </w:tc>
      </w:tr>
      <w:tr>
        <w:trPr>
          <w:trHeight w:val="21"/>
        </w:trPr>
        <w:tc>
          <w:tcPr>
            <w:tcW w:w="5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firstLine="551"/>
        <w:spacing w:after="0" w:line="262" w:lineRule="auto"/>
        <w:rPr>
          <w:sz w:val="20"/>
          <w:szCs w:val="20"/>
          <w:color w:val="auto"/>
        </w:rPr>
      </w:pPr>
      <w:r>
        <w:rPr>
          <w:rFonts w:ascii="Arial" w:cs="Arial" w:eastAsia="Arial" w:hAnsi="Arial"/>
          <w:sz w:val="15"/>
          <w:szCs w:val="15"/>
          <w:color w:val="auto"/>
        </w:rPr>
        <w:t>General and administrative expenses were $59.7 million for the three months ended March 31, 2026, compared to $52.1 million for the three months ended March 31, 2025, an increase of $7.6 million, or 14.6%. This increase was primarily due to a $3.2 million increase in labor costs and benefits associated with an expansion of personnel, a $2.7 million increase in consulting, audit and legal professional fees primarily due to the increased costs of operating as a public company, a $0.7 million increase in insurance expenses, a $0.8 million increase in utilities expenses, a $0.8 million increase in software licensing expenses, a $2.0 million increase in indirect tax expenses, a $0.8 million increase in rent expenses, and a $0.7 million increase in recruiting expenses, offset by a $1.3 million decrease in depreciation expense, and a $3.2 million decrease in stock-based compensation expense, which is primarily due to a one-time modification expense recorded for the three months ended March 31, 2025.</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Expense</w:t>
      </w:r>
    </w:p>
    <w:p>
      <w:pPr>
        <w:spacing w:after="0" w:line="390"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March 31,</w:t>
            </w:r>
          </w:p>
        </w:tc>
        <w:tc>
          <w:tcPr>
            <w:tcW w:w="70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18"/>
                <w:szCs w:val="18"/>
                <w:color w:val="auto"/>
              </w:rPr>
            </w:pPr>
          </w:p>
        </w:tc>
      </w:tr>
      <w:tr>
        <w:trPr>
          <w:trHeight w:val="221"/>
        </w:trPr>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r>
      <w:tr>
        <w:trPr>
          <w:trHeight w:val="256"/>
        </w:trPr>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6"/>
          </w:tcPr>
          <w:p>
            <w:pPr>
              <w:ind w:left="200"/>
              <w:spacing w:after="0"/>
              <w:rPr>
                <w:sz w:val="20"/>
                <w:szCs w:val="20"/>
                <w:color w:val="auto"/>
              </w:rPr>
            </w:pPr>
            <w:r>
              <w:rPr>
                <w:rFonts w:ascii="Arial" w:cs="Arial" w:eastAsia="Arial" w:hAnsi="Arial"/>
                <w:sz w:val="15"/>
                <w:szCs w:val="15"/>
                <w:b w:val="1"/>
                <w:bCs w:val="1"/>
                <w:color w:val="auto"/>
              </w:rPr>
              <w:t>(amounts in thousands)</w:t>
            </w:r>
          </w:p>
        </w:tc>
        <w:tc>
          <w:tcPr>
            <w:tcW w:w="920" w:type="dxa"/>
            <w:vAlign w:val="bottom"/>
          </w:tcPr>
          <w:p>
            <w:pPr>
              <w:spacing w:after="0"/>
              <w:rPr>
                <w:sz w:val="22"/>
                <w:szCs w:val="22"/>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23,066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35.8 %</w:t>
            </w:r>
          </w:p>
        </w:tc>
      </w:tr>
      <w:tr>
        <w:trPr>
          <w:trHeight w:val="21"/>
        </w:trPr>
        <w:tc>
          <w:tcPr>
            <w:tcW w:w="5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right="160" w:firstLine="551"/>
        <w:spacing w:after="0" w:line="275" w:lineRule="auto"/>
        <w:rPr>
          <w:sz w:val="20"/>
          <w:szCs w:val="20"/>
          <w:color w:val="auto"/>
        </w:rPr>
      </w:pPr>
      <w:r>
        <w:rPr>
          <w:rFonts w:ascii="Arial" w:cs="Arial" w:eastAsia="Arial" w:hAnsi="Arial"/>
          <w:sz w:val="15"/>
          <w:szCs w:val="15"/>
          <w:color w:val="auto"/>
        </w:rPr>
        <w:t>Research and development expenses were $31.3 million for the three months ended March 31, 2026, compared to $23.1 million for the three months ended March 31, 2025, an increase of $8.2 million, or 35.8%. The increase was primarily driven by an increase of $4.9 million in material and reference testing costs associated with higher product development testing, a $1.1 million increase in depreciation expense, a $0.9 million increase in stock-based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500"/>
        <w:spacing w:after="0" w:line="294" w:lineRule="auto"/>
        <w:rPr>
          <w:sz w:val="20"/>
          <w:szCs w:val="20"/>
          <w:color w:val="auto"/>
        </w:rPr>
      </w:pPr>
      <w:r>
        <w:rPr>
          <w:rFonts w:ascii="Arial" w:cs="Arial" w:eastAsia="Arial" w:hAnsi="Arial"/>
          <w:sz w:val="15"/>
          <w:szCs w:val="15"/>
          <w:color w:val="auto"/>
        </w:rPr>
        <w:t>compensation, a $3.0 million increase in utilities expenses, offset by a $0.4 million reduction in allocated overhead, and a $1.1 million reduction in biorepository collection fees.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gridSpan w:val="2"/>
          </w:tcPr>
          <w:p>
            <w:pPr>
              <w:spacing w:after="0"/>
              <w:rPr>
                <w:sz w:val="20"/>
                <w:szCs w:val="20"/>
                <w:color w:val="auto"/>
              </w:rPr>
            </w:pPr>
            <w:r>
              <w:rPr>
                <w:rFonts w:ascii="Arial" w:cs="Arial" w:eastAsia="Arial" w:hAnsi="Arial"/>
                <w:sz w:val="15"/>
                <w:szCs w:val="15"/>
                <w:b w:val="1"/>
                <w:bCs w:val="1"/>
                <w:color w:val="auto"/>
              </w:rPr>
              <w:t>Other Expense, Net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97"/>
        </w:trPr>
        <w:tc>
          <w:tcPr>
            <w:tcW w:w="3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March 31,</w:t>
            </w:r>
          </w:p>
        </w:tc>
        <w:tc>
          <w:tcPr>
            <w:tcW w:w="34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5"/>
                <w:szCs w:val="15"/>
                <w:b w:val="1"/>
                <w:bCs w:val="1"/>
                <w:color w:val="auto"/>
              </w:rPr>
              <w:t>Change</w:t>
            </w:r>
          </w:p>
        </w:tc>
        <w:tc>
          <w:tcPr>
            <w:tcW w:w="920" w:type="dxa"/>
            <w:vAlign w:val="bottom"/>
          </w:tcPr>
          <w:p>
            <w:pPr>
              <w:spacing w:after="0"/>
              <w:rPr>
                <w:sz w:val="24"/>
                <w:szCs w:val="24"/>
                <w:color w:val="auto"/>
              </w:rPr>
            </w:pPr>
          </w:p>
        </w:tc>
      </w:tr>
      <w:tr>
        <w:trPr>
          <w:trHeight w:val="221"/>
        </w:trPr>
        <w:tc>
          <w:tcPr>
            <w:tcW w:w="3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r>
      <w:tr>
        <w:trPr>
          <w:trHeight w:val="256"/>
        </w:trPr>
        <w:tc>
          <w:tcPr>
            <w:tcW w:w="30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60" w:type="dxa"/>
            <w:vAlign w:val="bottom"/>
            <w:gridSpan w:val="6"/>
          </w:tcPr>
          <w:p>
            <w:pPr>
              <w:ind w:left="220"/>
              <w:spacing w:after="0"/>
              <w:rPr>
                <w:sz w:val="20"/>
                <w:szCs w:val="20"/>
                <w:color w:val="auto"/>
              </w:rPr>
            </w:pPr>
            <w:r>
              <w:rPr>
                <w:rFonts w:ascii="Arial" w:cs="Arial" w:eastAsia="Arial" w:hAnsi="Arial"/>
                <w:sz w:val="15"/>
                <w:szCs w:val="15"/>
                <w:b w:val="1"/>
                <w:bCs w:val="1"/>
                <w:color w:val="auto"/>
              </w:rPr>
              <w:t>(amounts in thousands)</w:t>
            </w:r>
          </w:p>
        </w:tc>
        <w:tc>
          <w:tcPr>
            <w:tcW w:w="920" w:type="dxa"/>
            <w:vAlign w:val="bottom"/>
          </w:tcPr>
          <w:p>
            <w:pPr>
              <w:spacing w:after="0"/>
              <w:rPr>
                <w:sz w:val="22"/>
                <w:szCs w:val="22"/>
                <w:color w:val="auto"/>
              </w:rPr>
            </w:pPr>
          </w:p>
        </w:tc>
      </w:tr>
      <w:tr>
        <w:trPr>
          <w:trHeight w:val="216"/>
        </w:trPr>
        <w:tc>
          <w:tcPr>
            <w:tcW w:w="30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503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6,331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1,258.6 %</w:t>
            </w:r>
          </w:p>
        </w:tc>
      </w:tr>
      <w:tr>
        <w:trPr>
          <w:trHeight w:val="209"/>
        </w:trPr>
        <w:tc>
          <w:tcPr>
            <w:tcW w:w="3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(12,782)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0.2 %</w:t>
            </w:r>
          </w:p>
        </w:tc>
      </w:tr>
      <w:tr>
        <w:trPr>
          <w:trHeight w:val="21"/>
        </w:trPr>
        <w:tc>
          <w:tcPr>
            <w:tcW w:w="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in fair value of financial instruments</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(32,333)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32,333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9"/>
        </w:trPr>
        <w:tc>
          <w:tcPr>
            <w:tcW w:w="3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(388.2)%</w:t>
            </w:r>
          </w:p>
        </w:tc>
      </w:tr>
      <w:tr>
        <w:trPr>
          <w:trHeight w:val="21"/>
        </w:trPr>
        <w:tc>
          <w:tcPr>
            <w:tcW w:w="300" w:type="dxa"/>
            <w:vAlign w:val="bottom"/>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other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(44,629)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38,703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w:t>
            </w:r>
          </w:p>
        </w:tc>
      </w:tr>
      <w:tr>
        <w:trPr>
          <w:trHeight w:val="20"/>
        </w:trPr>
        <w:tc>
          <w:tcPr>
            <w:tcW w:w="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Income</w:t>
      </w:r>
    </w:p>
    <w:p>
      <w:pPr>
        <w:spacing w:after="0" w:line="161" w:lineRule="exact"/>
        <w:rPr>
          <w:sz w:val="20"/>
          <w:szCs w:val="20"/>
          <w:color w:val="auto"/>
        </w:rPr>
      </w:pPr>
    </w:p>
    <w:p>
      <w:pPr>
        <w:ind w:right="540" w:firstLine="551"/>
        <w:spacing w:after="0" w:line="294" w:lineRule="auto"/>
        <w:rPr>
          <w:sz w:val="20"/>
          <w:szCs w:val="20"/>
          <w:color w:val="auto"/>
        </w:rPr>
      </w:pPr>
      <w:r>
        <w:rPr>
          <w:rFonts w:ascii="Arial" w:cs="Arial" w:eastAsia="Arial" w:hAnsi="Arial"/>
          <w:sz w:val="15"/>
          <w:szCs w:val="15"/>
          <w:color w:val="auto"/>
        </w:rPr>
        <w:t>Interest income was $6.8 million for the three months ended March 31, 2026, compared to $0.5 million for the three months ended March 31, 2025, an increase of $6.3 million, or 1,258.6%. This increase was primarily due higher cash balances within our interest-earning bank accounts.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Expense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Interest expense was $12.8 million for the three months ended March 31, 2026 and for the three months ended March 31, 2025.</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Fair Value of Financial Instruments</w:t>
      </w:r>
    </w:p>
    <w:p>
      <w:pPr>
        <w:spacing w:after="0" w:line="161" w:lineRule="exact"/>
        <w:rPr>
          <w:sz w:val="20"/>
          <w:szCs w:val="20"/>
          <w:color w:val="auto"/>
        </w:rPr>
      </w:pPr>
    </w:p>
    <w:p>
      <w:pPr>
        <w:jc w:val="both"/>
        <w:ind w:right="60" w:firstLine="551"/>
        <w:spacing w:after="0" w:line="275" w:lineRule="auto"/>
        <w:rPr>
          <w:sz w:val="20"/>
          <w:szCs w:val="20"/>
          <w:color w:val="auto"/>
        </w:rPr>
      </w:pPr>
      <w:r>
        <w:rPr>
          <w:rFonts w:ascii="Arial" w:cs="Arial" w:eastAsia="Arial" w:hAnsi="Arial"/>
          <w:sz w:val="15"/>
          <w:szCs w:val="15"/>
          <w:color w:val="auto"/>
        </w:rPr>
        <w:t>Changes in fair value of financial instruments were $0.0 million for the three months ended March 31, 2026, compared to $(32.3) million for the three months ended March 31, 2025, an increase of $ 32.3 million, or 100.0%. The increase is primarily due to the absence of financial instruments subject to fair value adjustments during 2026, whereas such instruments were outstanding in 2025 and were subject to fair value changes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63" w:lineRule="exact"/>
        <w:rPr>
          <w:sz w:val="20"/>
          <w:szCs w:val="20"/>
          <w:color w:val="auto"/>
        </w:rPr>
      </w:pPr>
    </w:p>
    <w:p>
      <w:pPr>
        <w:ind w:right="220" w:firstLine="551"/>
        <w:spacing w:after="0" w:line="268" w:lineRule="auto"/>
        <w:rPr>
          <w:sz w:val="20"/>
          <w:szCs w:val="20"/>
          <w:color w:val="auto"/>
        </w:rPr>
      </w:pPr>
      <w:r>
        <w:rPr>
          <w:rFonts w:ascii="Arial" w:cs="Arial" w:eastAsia="Arial" w:hAnsi="Arial"/>
          <w:sz w:val="15"/>
          <w:szCs w:val="15"/>
          <w:color w:val="auto"/>
        </w:rPr>
        <w:t>We use certain non-GAAP financial measures to supplement our condensed consolidated financial statements, which are presented in accordance with GAAP. We believe the non-GAAP financial measures we use, Adjusted EBITDA and free cash flow, are useful in evaluating our performance and liquidity. Our non-GAAP financial measures have limitations as analytical tools, however, and you should not consider them in isolation or as substitutes for analysis of our results as reported under GAAP.</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Adjusted EBITDA</w:t>
      </w:r>
    </w:p>
    <w:p>
      <w:pPr>
        <w:spacing w:after="0" w:line="172" w:lineRule="exact"/>
        <w:rPr>
          <w:sz w:val="20"/>
          <w:szCs w:val="20"/>
          <w:color w:val="auto"/>
        </w:rPr>
      </w:pPr>
    </w:p>
    <w:p>
      <w:pPr>
        <w:ind w:right="120" w:firstLine="551"/>
        <w:spacing w:after="0" w:line="294" w:lineRule="auto"/>
        <w:rPr>
          <w:sz w:val="20"/>
          <w:szCs w:val="20"/>
          <w:color w:val="auto"/>
        </w:rPr>
      </w:pPr>
      <w:r>
        <w:rPr>
          <w:rFonts w:ascii="Arial" w:cs="Arial" w:eastAsia="Arial" w:hAnsi="Arial"/>
          <w:sz w:val="15"/>
          <w:szCs w:val="15"/>
          <w:color w:val="auto"/>
        </w:rPr>
        <w:t>We define Adjusted EBITDA as net loss, adjusted to exclude interest income, interest expense, changes in fair value of financial instruments, other expense, net, income tax benefit, depreciation and amortization, and stock-based compensation expense.</w:t>
      </w:r>
    </w:p>
    <w:p>
      <w:pPr>
        <w:spacing w:after="0" w:line="94" w:lineRule="exact"/>
        <w:rPr>
          <w:sz w:val="20"/>
          <w:szCs w:val="20"/>
          <w:color w:val="auto"/>
        </w:rPr>
      </w:pPr>
    </w:p>
    <w:p>
      <w:pPr>
        <w:ind w:right="140" w:firstLine="551"/>
        <w:spacing w:after="0" w:line="263" w:lineRule="auto"/>
        <w:rPr>
          <w:sz w:val="20"/>
          <w:szCs w:val="20"/>
          <w:color w:val="auto"/>
        </w:rPr>
      </w:pPr>
      <w:r>
        <w:rPr>
          <w:rFonts w:ascii="Arial" w:cs="Arial" w:eastAsia="Arial" w:hAnsi="Arial"/>
          <w:sz w:val="15"/>
          <w:szCs w:val="15"/>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 Some of the limitations related to the use of Adjusted EBITDA as an analytical tool include:</w:t>
      </w:r>
    </w:p>
    <w:p>
      <w:pPr>
        <w:spacing w:after="0" w:line="118" w:lineRule="exact"/>
        <w:rPr>
          <w:sz w:val="20"/>
          <w:szCs w:val="20"/>
          <w:color w:val="auto"/>
        </w:rPr>
      </w:pPr>
    </w:p>
    <w:p>
      <w:pPr>
        <w:ind w:left="540" w:hanging="273"/>
        <w:spacing w:after="0" w:line="294" w:lineRule="auto"/>
        <w:tabs>
          <w:tab w:leader="none" w:pos="513" w:val="left"/>
        </w:tabs>
        <w:numPr>
          <w:ilvl w:val="0"/>
          <w:numId w:val="12"/>
        </w:numPr>
        <w:rPr>
          <w:rFonts w:ascii="Arial" w:cs="Arial" w:eastAsia="Arial" w:hAnsi="Arial"/>
          <w:sz w:val="15"/>
          <w:szCs w:val="15"/>
          <w:color w:val="auto"/>
        </w:rPr>
      </w:pPr>
      <w:r>
        <w:rPr>
          <w:rFonts w:ascii="Arial" w:cs="Arial" w:eastAsia="Arial" w:hAnsi="Arial"/>
          <w:sz w:val="15"/>
          <w:szCs w:val="15"/>
          <w:color w:val="auto"/>
        </w:rPr>
        <w:t>it does not reflect interest income, interest expense or other non-operating gains and losses, which may represent an increase to or reduction in cash available to us;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40" w:right="160" w:hanging="273"/>
        <w:spacing w:after="0" w:line="265" w:lineRule="auto"/>
        <w:tabs>
          <w:tab w:leader="none" w:pos="513" w:val="left"/>
        </w:tabs>
        <w:numPr>
          <w:ilvl w:val="0"/>
          <w:numId w:val="13"/>
        </w:numPr>
        <w:rPr>
          <w:rFonts w:ascii="Arial" w:cs="Arial" w:eastAsia="Arial" w:hAnsi="Arial"/>
          <w:sz w:val="15"/>
          <w:szCs w:val="15"/>
          <w:color w:val="auto"/>
        </w:rPr>
      </w:pPr>
      <w:r>
        <w:rPr>
          <w:rFonts w:ascii="Arial" w:cs="Arial" w:eastAsia="Arial" w:hAnsi="Arial"/>
          <w:sz w:val="15"/>
          <w:szCs w:val="15"/>
          <w:color w:val="auto"/>
        </w:rPr>
        <w:t>it does not reflect recurring, non-cash expenses of depreciation of property and equipment and amortization of right-of-use assets and intangible assets, and although these are non-cash expenses, the assets being depreciated and amortized may have to be replaced in the future;</w:t>
      </w:r>
    </w:p>
    <w:p>
      <w:pPr>
        <w:ind w:left="520" w:hanging="253"/>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it does not reflect the impact of stock-based compensation expense, which has been, and will continue to be a part of our compensation strategy; and</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it may be calculated differently than similarly titled measures used by other companies, which reduces its usefulness as a comparative measure.</w:t>
      </w:r>
    </w:p>
    <w:p>
      <w:pPr>
        <w:spacing w:after="0" w:line="147" w:lineRule="exact"/>
        <w:rPr>
          <w:sz w:val="20"/>
          <w:szCs w:val="20"/>
          <w:color w:val="auto"/>
        </w:rPr>
      </w:pPr>
    </w:p>
    <w:p>
      <w:pPr>
        <w:jc w:val="both"/>
        <w:ind w:right="80" w:firstLine="551"/>
        <w:spacing w:after="0" w:line="268" w:lineRule="auto"/>
        <w:rPr>
          <w:sz w:val="20"/>
          <w:szCs w:val="20"/>
          <w:color w:val="auto"/>
        </w:rPr>
      </w:pPr>
      <w:r>
        <w:rPr>
          <w:rFonts w:ascii="Arial" w:cs="Arial" w:eastAsia="Arial" w:hAnsi="Arial"/>
          <w:sz w:val="15"/>
          <w:szCs w:val="15"/>
          <w:color w:val="auto"/>
        </w:rPr>
        <w:t>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w:t>
      </w:r>
    </w:p>
    <w:p>
      <w:pPr>
        <w:spacing w:after="0" w:line="125" w:lineRule="exact"/>
        <w:rPr>
          <w:sz w:val="20"/>
          <w:szCs w:val="20"/>
          <w:color w:val="auto"/>
        </w:rPr>
      </w:pPr>
    </w:p>
    <w:p>
      <w:pPr>
        <w:ind w:right="380" w:firstLine="551"/>
        <w:spacing w:after="0" w:line="294" w:lineRule="auto"/>
        <w:rPr>
          <w:sz w:val="20"/>
          <w:szCs w:val="20"/>
          <w:color w:val="auto"/>
        </w:rPr>
      </w:pPr>
      <w:r>
        <w:rPr>
          <w:rFonts w:ascii="Arial" w:cs="Arial" w:eastAsia="Arial" w:hAnsi="Arial"/>
          <w:sz w:val="15"/>
          <w:szCs w:val="15"/>
          <w:color w:val="auto"/>
        </w:rPr>
        <w:t>The following table provides a reconciliation of net loss, the most directly comparable financial measure presented in accordance with GAAP, to Adjusted EBITDA for the periods presented:</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7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2025</w:t>
            </w:r>
          </w:p>
        </w:tc>
      </w:tr>
      <w:tr>
        <w:trPr>
          <w:trHeight w:val="256"/>
        </w:trPr>
        <w:tc>
          <w:tcPr>
            <w:tcW w:w="7400" w:type="dxa"/>
            <w:vAlign w:val="bottom"/>
          </w:tcPr>
          <w:p>
            <w:pPr>
              <w:spacing w:after="0"/>
              <w:rPr>
                <w:sz w:val="22"/>
                <w:szCs w:val="22"/>
                <w:color w:val="auto"/>
              </w:rPr>
            </w:pPr>
          </w:p>
        </w:tc>
        <w:tc>
          <w:tcPr>
            <w:tcW w:w="3260" w:type="dxa"/>
            <w:vAlign w:val="bottom"/>
            <w:gridSpan w:val="5"/>
          </w:tcPr>
          <w:p>
            <w:pPr>
              <w:jc w:val="right"/>
              <w:ind w:right="683"/>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(102,581)</w:t>
            </w:r>
          </w:p>
        </w:tc>
      </w:tr>
      <w:tr>
        <w:trPr>
          <w:trHeight w:val="209"/>
        </w:trPr>
        <w:tc>
          <w:tcPr>
            <w:tcW w:w="7400" w:type="dxa"/>
            <w:vAlign w:val="bottom"/>
          </w:tcPr>
          <w:p>
            <w:pPr>
              <w:ind w:left="140"/>
              <w:spacing w:after="0"/>
              <w:rPr>
                <w:sz w:val="20"/>
                <w:szCs w:val="20"/>
                <w:color w:val="auto"/>
              </w:rPr>
            </w:pPr>
            <w:r>
              <w:rPr>
                <w:rFonts w:ascii="Arial" w:cs="Arial" w:eastAsia="Arial" w:hAnsi="Arial"/>
                <w:sz w:val="15"/>
                <w:szCs w:val="15"/>
                <w:color w:val="auto"/>
              </w:rPr>
              <w:t>Interest income</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(6,834)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(503)</w:t>
            </w:r>
          </w:p>
        </w:tc>
      </w:tr>
      <w:tr>
        <w:trPr>
          <w:trHeight w:val="21"/>
        </w:trPr>
        <w:tc>
          <w:tcPr>
            <w:tcW w:w="7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12,809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12,782</w:t>
            </w:r>
          </w:p>
        </w:tc>
      </w:tr>
      <w:tr>
        <w:trPr>
          <w:trHeight w:val="209"/>
        </w:trPr>
        <w:tc>
          <w:tcPr>
            <w:tcW w:w="7400" w:type="dxa"/>
            <w:vAlign w:val="bottom"/>
          </w:tcPr>
          <w:p>
            <w:pPr>
              <w:ind w:left="140"/>
              <w:spacing w:after="0"/>
              <w:rPr>
                <w:sz w:val="20"/>
                <w:szCs w:val="20"/>
                <w:color w:val="auto"/>
              </w:rPr>
            </w:pPr>
            <w:r>
              <w:rPr>
                <w:rFonts w:ascii="Arial" w:cs="Arial" w:eastAsia="Arial" w:hAnsi="Arial"/>
                <w:sz w:val="15"/>
                <w:szCs w:val="15"/>
                <w:color w:val="auto"/>
              </w:rPr>
              <w:t>Changes in fair value of financial instruments</w:t>
            </w:r>
          </w:p>
        </w:tc>
        <w:tc>
          <w:tcPr>
            <w:tcW w:w="10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32,333</w:t>
            </w:r>
          </w:p>
        </w:tc>
      </w:tr>
      <w:tr>
        <w:trPr>
          <w:trHeight w:val="21"/>
        </w:trPr>
        <w:tc>
          <w:tcPr>
            <w:tcW w:w="7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income (expense), net</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09"/>
        </w:trPr>
        <w:tc>
          <w:tcPr>
            <w:tcW w:w="7400" w:type="dxa"/>
            <w:vAlign w:val="bottom"/>
          </w:tcPr>
          <w:p>
            <w:pPr>
              <w:ind w:left="140"/>
              <w:spacing w:after="0"/>
              <w:rPr>
                <w:sz w:val="20"/>
                <w:szCs w:val="20"/>
                <w:color w:val="auto"/>
              </w:rPr>
            </w:pPr>
            <w:r>
              <w:rPr>
                <w:rFonts w:ascii="Arial" w:cs="Arial" w:eastAsia="Arial" w:hAnsi="Arial"/>
                <w:sz w:val="15"/>
                <w:szCs w:val="15"/>
                <w:color w:val="auto"/>
              </w:rPr>
              <w:t>Income tax benefit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7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0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5,065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7,045</w:t>
            </w:r>
          </w:p>
        </w:tc>
      </w:tr>
      <w:tr>
        <w:trPr>
          <w:trHeight w:val="209"/>
        </w:trPr>
        <w:tc>
          <w:tcPr>
            <w:tcW w:w="740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100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15,872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14,691</w:t>
            </w: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26,219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(36,216)</w:t>
            </w:r>
          </w:p>
        </w:tc>
      </w:tr>
      <w:tr>
        <w:trPr>
          <w:trHeight w:val="20"/>
        </w:trPr>
        <w:tc>
          <w:tcPr>
            <w:tcW w:w="7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Free Cash Flow</w:t>
      </w:r>
    </w:p>
    <w:p>
      <w:pPr>
        <w:spacing w:after="0" w:line="161" w:lineRule="exact"/>
        <w:rPr>
          <w:sz w:val="20"/>
          <w:szCs w:val="20"/>
          <w:color w:val="auto"/>
        </w:rPr>
      </w:pPr>
    </w:p>
    <w:p>
      <w:pPr>
        <w:ind w:firstLine="551"/>
        <w:spacing w:after="0" w:line="275" w:lineRule="auto"/>
        <w:rPr>
          <w:sz w:val="20"/>
          <w:szCs w:val="20"/>
          <w:color w:val="auto"/>
        </w:rPr>
      </w:pPr>
      <w:r>
        <w:rPr>
          <w:rFonts w:ascii="Arial" w:cs="Arial" w:eastAsia="Arial" w:hAnsi="Arial"/>
          <w:sz w:val="15"/>
          <w:szCs w:val="15"/>
          <w:color w:val="auto"/>
        </w:rPr>
        <w:t>We define free cash flow as net cash provided by (used in) operating activities less purchases of property and equipment. We believe free cash flow is a useful measure of liquidity that provides an additional basis for assessing our ability to generate cash. Some of the limitations related to the use of free cash flow as an analytical tool include:</w:t>
      </w:r>
    </w:p>
    <w:p>
      <w:pPr>
        <w:spacing w:after="0" w:line="119" w:lineRule="exact"/>
        <w:rPr>
          <w:sz w:val="20"/>
          <w:szCs w:val="20"/>
          <w:color w:val="auto"/>
        </w:rPr>
      </w:pPr>
    </w:p>
    <w:p>
      <w:pPr>
        <w:ind w:left="520" w:hanging="253"/>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it does not reflect our future contractual commitments;</w:t>
      </w:r>
    </w:p>
    <w:p>
      <w:pPr>
        <w:spacing w:after="0" w:line="25" w:lineRule="exact"/>
        <w:rPr>
          <w:rFonts w:ascii="Arial" w:cs="Arial" w:eastAsia="Arial" w:hAnsi="Arial"/>
          <w:sz w:val="15"/>
          <w:szCs w:val="15"/>
          <w:color w:val="auto"/>
        </w:rPr>
      </w:pPr>
    </w:p>
    <w:p>
      <w:pPr>
        <w:ind w:left="520" w:hanging="253"/>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it does not represent our total residual cash flow for a given period; and</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it may be calculated differently than similarly titled measures used by other companies, which reduces its usefulness as a comparative measure.</w:t>
      </w:r>
    </w:p>
    <w:p>
      <w:pPr>
        <w:spacing w:after="0" w:line="147" w:lineRule="exact"/>
        <w:rPr>
          <w:sz w:val="20"/>
          <w:szCs w:val="20"/>
          <w:color w:val="auto"/>
        </w:rPr>
      </w:pPr>
    </w:p>
    <w:p>
      <w:pPr>
        <w:ind w:right="260" w:firstLine="551"/>
        <w:spacing w:after="0" w:line="294" w:lineRule="auto"/>
        <w:rPr>
          <w:sz w:val="20"/>
          <w:szCs w:val="20"/>
          <w:color w:val="auto"/>
        </w:rPr>
      </w:pPr>
      <w:r>
        <w:rPr>
          <w:rFonts w:ascii="Arial" w:cs="Arial" w:eastAsia="Arial" w:hAnsi="Arial"/>
          <w:sz w:val="15"/>
          <w:szCs w:val="15"/>
          <w:color w:val="auto"/>
        </w:rPr>
        <w:t>Because of these limitations, you should consider free cash flow alongside other financial performance measures, including net cash provided by (used in) operating activities, capital expenditures, and our other GAAP results.</w:t>
      </w:r>
    </w:p>
    <w:p>
      <w:pPr>
        <w:spacing w:after="0" w:line="94"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The following table provides a reconciliation of net cash provided by (used in) operating activities, the most directly comparable financial measure presented in accordance with GAAP, to free cash flow for the periods presented:</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7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0" w:type="dxa"/>
            <w:vAlign w:val="bottom"/>
            <w:tcBorders>
              <w:bottom w:val="single" w:sz="8" w:color="auto"/>
            </w:tcBorders>
          </w:tcPr>
          <w:p>
            <w:pPr>
              <w:spacing w:after="0"/>
              <w:rPr>
                <w:sz w:val="19"/>
                <w:szCs w:val="19"/>
                <w:color w:val="auto"/>
              </w:rPr>
            </w:pPr>
          </w:p>
        </w:tc>
      </w:tr>
      <w:tr>
        <w:trPr>
          <w:trHeight w:val="256"/>
        </w:trPr>
        <w:tc>
          <w:tcPr>
            <w:tcW w:w="7400" w:type="dxa"/>
            <w:vAlign w:val="bottom"/>
          </w:tcPr>
          <w:p>
            <w:pPr>
              <w:spacing w:after="0"/>
              <w:rPr>
                <w:sz w:val="22"/>
                <w:szCs w:val="22"/>
                <w:color w:val="auto"/>
              </w:rPr>
            </w:pPr>
          </w:p>
        </w:tc>
        <w:tc>
          <w:tcPr>
            <w:tcW w:w="2660" w:type="dxa"/>
            <w:vAlign w:val="bottom"/>
            <w:gridSpan w:val="4"/>
          </w:tcPr>
          <w:p>
            <w:pPr>
              <w:jc w:val="right"/>
              <w:ind w:right="83"/>
              <w:spacing w:after="0"/>
              <w:rPr>
                <w:sz w:val="20"/>
                <w:szCs w:val="20"/>
                <w:color w:val="auto"/>
              </w:rPr>
            </w:pPr>
            <w:r>
              <w:rPr>
                <w:rFonts w:ascii="Arial" w:cs="Arial" w:eastAsia="Arial" w:hAnsi="Arial"/>
                <w:sz w:val="15"/>
                <w:szCs w:val="15"/>
                <w:b w:val="1"/>
                <w:bCs w:val="1"/>
                <w:color w:val="auto"/>
              </w:rPr>
              <w:t>(amounts in thousands)</w:t>
            </w:r>
          </w:p>
        </w:tc>
        <w:tc>
          <w:tcPr>
            <w:tcW w:w="600" w:type="dxa"/>
            <w:vAlign w:val="bottom"/>
          </w:tcPr>
          <w:p>
            <w:pPr>
              <w:spacing w:after="0"/>
              <w:rPr>
                <w:sz w:val="22"/>
                <w:szCs w:val="22"/>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provided by (used in) operating activities</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32,876</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(31,338)</w:t>
            </w:r>
          </w:p>
        </w:tc>
      </w:tr>
      <w:tr>
        <w:trPr>
          <w:trHeight w:val="209"/>
        </w:trPr>
        <w:tc>
          <w:tcPr>
            <w:tcW w:w="7400" w:type="dxa"/>
            <w:vAlign w:val="bottom"/>
          </w:tcPr>
          <w:p>
            <w:pPr>
              <w:spacing w:after="0"/>
              <w:rPr>
                <w:sz w:val="20"/>
                <w:szCs w:val="20"/>
                <w:color w:val="auto"/>
              </w:rPr>
            </w:pPr>
            <w:r>
              <w:rPr>
                <w:rFonts w:ascii="Arial" w:cs="Arial" w:eastAsia="Arial" w:hAnsi="Arial"/>
                <w:sz w:val="15"/>
                <w:szCs w:val="15"/>
                <w:color w:val="auto"/>
              </w:rPr>
              <w:t>Less: purchases of property and equipment</w:t>
            </w:r>
          </w:p>
        </w:tc>
        <w:tc>
          <w:tcPr>
            <w:tcW w:w="9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rPr>
              <w:t>(10,342)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(2,689)</w:t>
            </w: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6"/>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22,534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(34,027)</w:t>
            </w:r>
          </w:p>
        </w:tc>
      </w:tr>
      <w:tr>
        <w:trPr>
          <w:trHeight w:val="20"/>
        </w:trPr>
        <w:tc>
          <w:tcPr>
            <w:tcW w:w="7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Sources of Liquidity</w:t>
      </w:r>
    </w:p>
    <w:p>
      <w:pPr>
        <w:spacing w:after="0" w:line="172"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We may incur net losses in the near future, and our expenses will increase as we continue to invest in developing new solutions, expand our organization, and increase our marketing efforts to continue to launch and drive market adoption of our solutions. As of March 31, 2026, we had an accumulated deficit of $2.5 billion.</w:t>
      </w:r>
    </w:p>
    <w:p>
      <w:pPr>
        <w:spacing w:after="0" w:line="94" w:lineRule="exact"/>
        <w:rPr>
          <w:sz w:val="20"/>
          <w:szCs w:val="20"/>
          <w:color w:val="auto"/>
        </w:rPr>
      </w:pPr>
    </w:p>
    <w:p>
      <w:pPr>
        <w:ind w:right="40" w:firstLine="551"/>
        <w:spacing w:after="0" w:line="263" w:lineRule="auto"/>
        <w:rPr>
          <w:sz w:val="20"/>
          <w:szCs w:val="20"/>
          <w:color w:val="auto"/>
        </w:rPr>
      </w:pPr>
      <w:r>
        <w:rPr>
          <w:rFonts w:ascii="Arial" w:cs="Arial" w:eastAsia="Arial" w:hAnsi="Arial"/>
          <w:sz w:val="15"/>
          <w:szCs w:val="15"/>
          <w:color w:val="auto"/>
        </w:rPr>
        <w:t>To date, we have funded our operations principally from the issuance of stock in private financings, issuance of common stock through our IPO, term loan borrowings and convertible debt, and through revenue from molecular profiling and pharma research and development services. As of March 31, 2026, we had cash and cash equivalents of $819.9 million and short-term marketable securities of $2.3 million. We believe our existing cash and cash equivalents, short-term marketable securities, and anticipated cash flows from operations will provide sufficient capital and liquidity to fund our operating expenses and capital expenditure requirements for at least the next 12 months. We may, however, continue to require additional capital to meet our operational needs. See “—Indebtedness” and “—Cash Requirements” below for additional information regarding our cash requirements and various factors that may impact our liquidity and capital resources.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00" w:type="dxa"/>
            <w:vAlign w:val="bottom"/>
            <w:gridSpan w:val="2"/>
          </w:tcPr>
          <w:p>
            <w:pPr>
              <w:spacing w:after="0"/>
              <w:rPr>
                <w:sz w:val="20"/>
                <w:szCs w:val="20"/>
                <w:color w:val="auto"/>
              </w:rPr>
            </w:pPr>
            <w:r>
              <w:rPr>
                <w:rFonts w:ascii="Arial" w:cs="Arial" w:eastAsia="Arial" w:hAnsi="Arial"/>
                <w:sz w:val="15"/>
                <w:szCs w:val="15"/>
                <w:b w:val="1"/>
                <w:bCs w:val="1"/>
                <w:color w:val="auto"/>
              </w:rPr>
              <w:t>Cash Flows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6"/>
        </w:trPr>
        <w:tc>
          <w:tcPr>
            <w:tcW w:w="300" w:type="dxa"/>
            <w:vAlign w:val="bottom"/>
          </w:tcPr>
          <w:p>
            <w:pPr>
              <w:spacing w:after="0"/>
              <w:rPr>
                <w:sz w:val="24"/>
                <w:szCs w:val="24"/>
                <w:color w:val="auto"/>
              </w:rPr>
            </w:pPr>
          </w:p>
        </w:tc>
        <w:tc>
          <w:tcPr>
            <w:tcW w:w="7400" w:type="dxa"/>
            <w:vAlign w:val="bottom"/>
          </w:tcPr>
          <w:p>
            <w:pPr>
              <w:ind w:left="240"/>
              <w:spacing w:after="0"/>
              <w:rPr>
                <w:sz w:val="20"/>
                <w:szCs w:val="20"/>
                <w:color w:val="auto"/>
              </w:rPr>
            </w:pPr>
            <w:r>
              <w:rPr>
                <w:rFonts w:ascii="Arial" w:cs="Arial" w:eastAsia="Arial" w:hAnsi="Arial"/>
                <w:sz w:val="15"/>
                <w:szCs w:val="15"/>
                <w:color w:val="auto"/>
              </w:rPr>
              <w:t>The following table summarizes our cash flows for the periods presented:</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3"/>
        </w:trPr>
        <w:tc>
          <w:tcPr>
            <w:tcW w:w="3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5"/>
                <w:szCs w:val="15"/>
                <w:b w:val="1"/>
                <w:bCs w:val="1"/>
                <w:color w:val="auto"/>
              </w:rPr>
              <w:t>Three Months Ended March 31,</w:t>
            </w:r>
          </w:p>
        </w:tc>
      </w:tr>
      <w:tr>
        <w:trPr>
          <w:trHeight w:val="221"/>
        </w:trPr>
        <w:tc>
          <w:tcPr>
            <w:tcW w:w="30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2025</w:t>
            </w:r>
          </w:p>
        </w:tc>
      </w:tr>
      <w:tr>
        <w:trPr>
          <w:trHeight w:val="256"/>
        </w:trPr>
        <w:tc>
          <w:tcPr>
            <w:tcW w:w="30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60" w:type="dxa"/>
            <w:vAlign w:val="bottom"/>
            <w:gridSpan w:val="4"/>
          </w:tcPr>
          <w:p>
            <w:pPr>
              <w:jc w:val="right"/>
              <w:ind w:right="683"/>
              <w:spacing w:after="0"/>
              <w:rPr>
                <w:sz w:val="20"/>
                <w:szCs w:val="20"/>
                <w:color w:val="auto"/>
              </w:rPr>
            </w:pPr>
            <w:r>
              <w:rPr>
                <w:rFonts w:ascii="Arial" w:cs="Arial" w:eastAsia="Arial" w:hAnsi="Arial"/>
                <w:sz w:val="15"/>
                <w:szCs w:val="15"/>
                <w:b w:val="1"/>
                <w:bCs w:val="1"/>
                <w:color w:val="auto"/>
              </w:rPr>
              <w:t>(amounts in thousands)</w:t>
            </w:r>
          </w:p>
        </w:tc>
      </w:tr>
      <w:tr>
        <w:trPr>
          <w:trHeight w:val="216"/>
        </w:trPr>
        <w:tc>
          <w:tcPr>
            <w:tcW w:w="30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provided by (used in) operating activities</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32,876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(31,338)</w:t>
            </w:r>
          </w:p>
        </w:tc>
      </w:tr>
      <w:tr>
        <w:trPr>
          <w:trHeight w:val="209"/>
        </w:trPr>
        <w:tc>
          <w:tcPr>
            <w:tcW w:w="30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(10,342)</w:t>
            </w:r>
          </w:p>
        </w:tc>
        <w:tc>
          <w:tcPr>
            <w:tcW w:w="8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(2,689)</w:t>
            </w:r>
          </w:p>
        </w:tc>
      </w:tr>
      <w:tr>
        <w:trPr>
          <w:trHeight w:val="21"/>
        </w:trPr>
        <w:tc>
          <w:tcPr>
            <w:tcW w:w="3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1,285</w:t>
            </w:r>
          </w:p>
        </w:tc>
      </w:tr>
      <w:tr>
        <w:trPr>
          <w:trHeight w:val="21"/>
        </w:trPr>
        <w:tc>
          <w:tcPr>
            <w:tcW w:w="300" w:type="dxa"/>
            <w:vAlign w:val="bottom"/>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161" w:lineRule="exact"/>
        <w:rPr>
          <w:sz w:val="20"/>
          <w:szCs w:val="20"/>
          <w:color w:val="auto"/>
        </w:rPr>
      </w:pPr>
    </w:p>
    <w:p>
      <w:pPr>
        <w:ind w:right="20" w:firstLine="551"/>
        <w:spacing w:after="0" w:line="263" w:lineRule="auto"/>
        <w:rPr>
          <w:sz w:val="20"/>
          <w:szCs w:val="20"/>
          <w:color w:val="auto"/>
        </w:rPr>
      </w:pPr>
      <w:r>
        <w:rPr>
          <w:rFonts w:ascii="Arial" w:cs="Arial" w:eastAsia="Arial" w:hAnsi="Arial"/>
          <w:sz w:val="15"/>
          <w:szCs w:val="15"/>
          <w:color w:val="auto"/>
        </w:rPr>
        <w:t>Net cash provided by operating activities during the three months ended March 31, 2026 was $32.9 million, which was due to a net change in our operating assets and liabilities of $8.3 million and net non-cash charges of $25.1 million, offset by a net loss of $0.5 million. The net change in our operating assets and liabilities was primarily the result of a $21.6 million decrease in accounts receivable, and a $16.4 million increase in accounts payable, offset by a $13.3 million increase in supplies, a $1.6 million increase in prepaid expenses and other current assets, and a $15.0 million decrease in accrued expenses and other liabilities. Net non-cash charges primarily consisted of $5.1 million of depreciation and amortization expense, $15.9 million of stock-based compensation expense, $1.3 million of non-cash operating lease expense, and $2.6 million in amortization of debt discount costs.</w:t>
      </w:r>
    </w:p>
    <w:p>
      <w:pPr>
        <w:spacing w:after="0" w:line="129" w:lineRule="exact"/>
        <w:rPr>
          <w:sz w:val="20"/>
          <w:szCs w:val="20"/>
          <w:color w:val="auto"/>
        </w:rPr>
      </w:pPr>
    </w:p>
    <w:p>
      <w:pPr>
        <w:ind w:right="60" w:firstLine="551"/>
        <w:spacing w:after="0" w:line="263" w:lineRule="auto"/>
        <w:rPr>
          <w:sz w:val="20"/>
          <w:szCs w:val="20"/>
          <w:color w:val="auto"/>
        </w:rPr>
      </w:pPr>
      <w:r>
        <w:rPr>
          <w:rFonts w:ascii="Arial" w:cs="Arial" w:eastAsia="Arial" w:hAnsi="Arial"/>
          <w:sz w:val="15"/>
          <w:szCs w:val="15"/>
          <w:color w:val="auto"/>
        </w:rPr>
        <w:t>Net cash used in operating activities during the three months ended March 31, 2025 was $31.3 million, which was primarily due to a net loss of $102.6 million and a net change in our operating assets and liabilities of $ 13.3 million, offset by non-cash charges of $ 57.9 million. The net change in our operating assets and liabilities was primarily the result of a $1.7 million decrease in accounts payable, offset by a $7.9 million decrease in accounts receivable, a $2.5 million decrease in prepaid expenses and other current assets, a $2.1 million decrease in supplies, and a $2.6 million increase in accrued expenses and other liabilities. Net non-cash charges primarily consisted of $7.0 million of depreciation and amortization expense, $ 14.7 million of stock-based compensation expense, and $1.9 million in amortization of debt discount costs, offset by a $32.3 million loss within changes in the fair value of financial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161"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Net cash used in investing activities during the three months ended March 31, 2026 was $10.3 million, which was due to purchases of property and equipment of $10.3 million.</w:t>
      </w:r>
    </w:p>
    <w:p>
      <w:pPr>
        <w:spacing w:after="0" w:line="106" w:lineRule="exact"/>
        <w:rPr>
          <w:sz w:val="20"/>
          <w:szCs w:val="20"/>
          <w:color w:val="auto"/>
        </w:rPr>
      </w:pPr>
    </w:p>
    <w:p>
      <w:pPr>
        <w:ind w:right="220" w:firstLine="551"/>
        <w:spacing w:after="0" w:line="294" w:lineRule="auto"/>
        <w:rPr>
          <w:sz w:val="20"/>
          <w:szCs w:val="20"/>
          <w:color w:val="auto"/>
        </w:rPr>
      </w:pPr>
      <w:r>
        <w:rPr>
          <w:rFonts w:ascii="Arial" w:cs="Arial" w:eastAsia="Arial" w:hAnsi="Arial"/>
          <w:sz w:val="15"/>
          <w:szCs w:val="15"/>
          <w:color w:val="auto"/>
        </w:rPr>
        <w:t>Net cash used in investing activities during the three months ended March 31, 2025 was $2.7 million, which was primarily due to purchases of property and equipment of $2.7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161" w:lineRule="exact"/>
        <w:rPr>
          <w:sz w:val="20"/>
          <w:szCs w:val="20"/>
          <w:color w:val="auto"/>
        </w:rPr>
      </w:pPr>
    </w:p>
    <w:p>
      <w:pPr>
        <w:ind w:right="480" w:firstLine="551"/>
        <w:spacing w:after="0" w:line="294" w:lineRule="auto"/>
        <w:rPr>
          <w:sz w:val="20"/>
          <w:szCs w:val="20"/>
          <w:color w:val="auto"/>
        </w:rPr>
      </w:pPr>
      <w:r>
        <w:rPr>
          <w:rFonts w:ascii="Arial" w:cs="Arial" w:eastAsia="Arial" w:hAnsi="Arial"/>
          <w:sz w:val="15"/>
          <w:szCs w:val="15"/>
          <w:color w:val="auto"/>
        </w:rPr>
        <w:t>Net cash provided by financing activities during the three months ended March 31, 2026 was $0.8 million, which was primarily due to exercises of stock options of $0.9 million.</w:t>
      </w:r>
    </w:p>
    <w:p>
      <w:pPr>
        <w:spacing w:after="0" w:line="106" w:lineRule="exact"/>
        <w:rPr>
          <w:sz w:val="20"/>
          <w:szCs w:val="20"/>
          <w:color w:val="auto"/>
        </w:rPr>
      </w:pPr>
    </w:p>
    <w:p>
      <w:pPr>
        <w:ind w:right="20" w:firstLine="551"/>
        <w:spacing w:after="0" w:line="294" w:lineRule="auto"/>
        <w:rPr>
          <w:sz w:val="20"/>
          <w:szCs w:val="20"/>
          <w:color w:val="auto"/>
        </w:rPr>
      </w:pPr>
      <w:r>
        <w:rPr>
          <w:rFonts w:ascii="Arial" w:cs="Arial" w:eastAsia="Arial" w:hAnsi="Arial"/>
          <w:sz w:val="15"/>
          <w:szCs w:val="15"/>
          <w:color w:val="auto"/>
        </w:rPr>
        <w:t>Net cash provided by financing activities during the three months ended March 31, 2025 was $1.3 million, which was primarily due to proceeds from exercises of stock options of $1.4 million, offset by the payment of deferred offering costs of $0.1 million.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2023 Credit Agreement</w:t>
      </w:r>
    </w:p>
    <w:p>
      <w:pPr>
        <w:spacing w:after="0" w:line="172" w:lineRule="exact"/>
        <w:rPr>
          <w:sz w:val="20"/>
          <w:szCs w:val="20"/>
          <w:color w:val="auto"/>
        </w:rPr>
      </w:pPr>
    </w:p>
    <w:p>
      <w:pPr>
        <w:ind w:firstLine="551"/>
        <w:spacing w:after="0" w:line="259" w:lineRule="auto"/>
        <w:rPr>
          <w:sz w:val="20"/>
          <w:szCs w:val="20"/>
          <w:color w:val="auto"/>
        </w:rPr>
      </w:pPr>
      <w:r>
        <w:rPr>
          <w:rFonts w:ascii="Arial" w:cs="Arial" w:eastAsia="Arial" w:hAnsi="Arial"/>
          <w:sz w:val="15"/>
          <w:szCs w:val="15"/>
          <w:color w:val="auto"/>
        </w:rPr>
        <w:t>In January 2023, we entered into a term loan agreement, as amended with OrbiMed Royalty &amp; Credit Opportunities III, LP, OrbiMed Royalty &amp; Credit Opportunities IV, LP, and Braidwell Transaction Holdings LLC (the “2023 Lenders”), pursuant to which we issued senior, secured promissory notes and the Lenders agreed to lend us up to an aggregate principal amount of $400.0 million (the “2023 Term Loan”), $200.0 million of which was drawn down upon issuance of the notes. Net cash proceeds to us were $189.0 million, after deducting customary debt discounts and debt issuance costs. The net proceeds were used to repay in full our then-outstanding term loans, including an aggregate principal amount of $175.0 million, a prepayment premium of $5.0 million, and accrued and unpaid interest of</w:t>
      </w:r>
    </w:p>
    <w:p>
      <w:pPr>
        <w:spacing w:after="0" w:line="2" w:lineRule="exact"/>
        <w:rPr>
          <w:sz w:val="20"/>
          <w:szCs w:val="20"/>
          <w:color w:val="auto"/>
        </w:rPr>
      </w:pPr>
    </w:p>
    <w:p>
      <w:pPr>
        <w:ind w:right="480"/>
        <w:spacing w:after="0" w:line="275" w:lineRule="auto"/>
        <w:rPr>
          <w:sz w:val="20"/>
          <w:szCs w:val="20"/>
          <w:color w:val="auto"/>
        </w:rPr>
      </w:pPr>
      <w:r>
        <w:rPr>
          <w:rFonts w:ascii="Arial" w:cs="Arial" w:eastAsia="Arial" w:hAnsi="Arial"/>
          <w:sz w:val="15"/>
          <w:szCs w:val="15"/>
          <w:color w:val="auto"/>
        </w:rPr>
        <w:t>$1.0 million. In March 2024, we drew down the remaining $200.0 million under the 2023 Term Loan. As of March 31, 2026, we had $400.0 million of borrowings outstanding under the 2023 Term Loan.</w:t>
      </w:r>
    </w:p>
    <w:p>
      <w:pPr>
        <w:spacing w:after="0" w:line="107" w:lineRule="exact"/>
        <w:rPr>
          <w:sz w:val="20"/>
          <w:szCs w:val="20"/>
          <w:color w:val="auto"/>
        </w:rPr>
      </w:pPr>
    </w:p>
    <w:p>
      <w:pPr>
        <w:ind w:right="100" w:firstLine="551"/>
        <w:spacing w:after="0" w:line="294" w:lineRule="auto"/>
        <w:rPr>
          <w:sz w:val="20"/>
          <w:szCs w:val="20"/>
          <w:color w:val="auto"/>
        </w:rPr>
      </w:pPr>
      <w:r>
        <w:rPr>
          <w:rFonts w:ascii="Arial" w:cs="Arial" w:eastAsia="Arial" w:hAnsi="Arial"/>
          <w:sz w:val="15"/>
          <w:szCs w:val="15"/>
          <w:color w:val="auto"/>
        </w:rPr>
        <w:t>On April 1, 2026, the Company fully repaid the 2023 Term Loan before its 2028 maturity, and entered into a new credit agreement with a different lender. See “2026 Financing Agreement” below for additional details.</w:t>
      </w:r>
    </w:p>
    <w:p>
      <w:pPr>
        <w:spacing w:after="0" w:line="94" w:lineRule="exact"/>
        <w:rPr>
          <w:sz w:val="20"/>
          <w:szCs w:val="20"/>
          <w:color w:val="auto"/>
        </w:rPr>
      </w:pPr>
    </w:p>
    <w:p>
      <w:pPr>
        <w:ind w:right="120" w:firstLine="551"/>
        <w:spacing w:after="0" w:line="268" w:lineRule="auto"/>
        <w:rPr>
          <w:sz w:val="20"/>
          <w:szCs w:val="20"/>
          <w:color w:val="auto"/>
        </w:rPr>
      </w:pPr>
      <w:r>
        <w:rPr>
          <w:rFonts w:ascii="Arial" w:cs="Arial" w:eastAsia="Arial" w:hAnsi="Arial"/>
          <w:sz w:val="15"/>
          <w:szCs w:val="15"/>
          <w:color w:val="auto"/>
        </w:rPr>
        <w:t>The aggregate principal amount outstanding under the 2023 Term Loan would have been due and payable on January 18, 2028. At any time during the occurrence and continuation of an event of default, the 2023 Lenders could declare all amounts outstanding under the 2023 Term Loan to be immediately due and payable. A final payment exit fee equal to 1.0% of the amount funded under the 2023 Term Loan and a prepayment premium were due upon prepayment or maturity, which amounts were paid with the proceeds of the 2026 Financing Agreement described below.</w:t>
      </w:r>
    </w:p>
    <w:p>
      <w:pPr>
        <w:spacing w:after="0" w:line="125" w:lineRule="exact"/>
        <w:rPr>
          <w:sz w:val="20"/>
          <w:szCs w:val="20"/>
          <w:color w:val="auto"/>
        </w:rPr>
      </w:pPr>
    </w:p>
    <w:p>
      <w:pPr>
        <w:ind w:right="160" w:firstLine="551"/>
        <w:spacing w:after="0" w:line="268" w:lineRule="auto"/>
        <w:rPr>
          <w:sz w:val="20"/>
          <w:szCs w:val="20"/>
          <w:color w:val="auto"/>
        </w:rPr>
      </w:pPr>
      <w:r>
        <w:rPr>
          <w:rFonts w:ascii="Arial" w:cs="Arial" w:eastAsia="Arial" w:hAnsi="Arial"/>
          <w:sz w:val="15"/>
          <w:szCs w:val="15"/>
          <w:color w:val="auto"/>
        </w:rPr>
        <w:t>The aggregate principal amount under the 2023 Term Loan bore interest at a rate per annum equal to a fixed margin of 6.5% plus the greater of (a) forward-looking three-month secured overnight financing rate (“SOFR”) and (b) 2.5%. In the event of default, the fixed margin was set to increase by 3.0% per annum. As of March 31, 2026, the interest rate was 10.2%. Regular quarterly payments were interest-only for the 60-month term of the 2023 Term Loan, with the principal due at maturity.</w:t>
      </w:r>
    </w:p>
    <w:p>
      <w:pPr>
        <w:spacing w:after="0" w:line="114" w:lineRule="exact"/>
        <w:rPr>
          <w:sz w:val="20"/>
          <w:szCs w:val="20"/>
          <w:color w:val="auto"/>
        </w:rPr>
      </w:pPr>
    </w:p>
    <w:p>
      <w:pPr>
        <w:ind w:right="20" w:firstLine="551"/>
        <w:spacing w:after="0" w:line="265" w:lineRule="auto"/>
        <w:rPr>
          <w:sz w:val="20"/>
          <w:szCs w:val="20"/>
          <w:color w:val="auto"/>
        </w:rPr>
      </w:pPr>
      <w:r>
        <w:rPr>
          <w:rFonts w:ascii="Arial" w:cs="Arial" w:eastAsia="Arial" w:hAnsi="Arial"/>
          <w:sz w:val="15"/>
          <w:szCs w:val="15"/>
          <w:color w:val="auto"/>
        </w:rPr>
        <w:t>Our obligations under the 2023 Term Loan were secured by a first lien security interest in substantially all of our assets and our subsidiaries’ assets. The 2023 Term Loan contained certain customary representations and warranties, affirmative and negative covenants, financial covenants, and events of default applicable to us and our subsidiaries. Additional covenants included those restricting dispositions, fundamental changes to our business, mergers or acquisitions, indebtedness, encumbrances, distributions, investments, transactions with affiliates, and subordinated debt. As of March 31, 2026, we were in compliance with all covenants under the 2023 Term Loan.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2026 Financing Agreement</w:t>
      </w:r>
    </w:p>
    <w:p>
      <w:pPr>
        <w:spacing w:after="0" w:line="172"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On April 1, 2026, we as borrower, and certain of our subsidiaries as guarantors, entered into a Financing Agreement with lenders consisting of funds managed by Blue Owl Capital and Blackstone.</w:t>
      </w:r>
    </w:p>
    <w:p>
      <w:pPr>
        <w:spacing w:after="0" w:line="94" w:lineRule="exact"/>
        <w:rPr>
          <w:sz w:val="20"/>
          <w:szCs w:val="20"/>
          <w:color w:val="auto"/>
        </w:rPr>
      </w:pPr>
    </w:p>
    <w:p>
      <w:pPr>
        <w:ind w:firstLine="551"/>
        <w:spacing w:after="0" w:line="262" w:lineRule="auto"/>
        <w:rPr>
          <w:sz w:val="20"/>
          <w:szCs w:val="20"/>
          <w:color w:val="auto"/>
        </w:rPr>
      </w:pPr>
      <w:r>
        <w:rPr>
          <w:rFonts w:ascii="Arial" w:cs="Arial" w:eastAsia="Arial" w:hAnsi="Arial"/>
          <w:sz w:val="15"/>
          <w:szCs w:val="15"/>
          <w:color w:val="auto"/>
        </w:rPr>
        <w:t>The 2026 Financing Agreement provides for certain senior secured credit facilities consisting of (a) an initial term loan in an aggregate principal amount equal to $400,000,000, funded at closing, (b) a committed delayed draw term loan facility in an aggregate principal amount that may be drawn in one or more tranches not to exceed $300,000,000 in the aggregate that may be used by the Company and its subsidiaries solely in connection with Permitted Acquisitions (as defined in the 2026 Financing Agreement), and (c) an uncommitted incremental facility in an aggregate principal amount not to exceed $500,000,000. Our obligations under the 2026 Financing Agreement are unconditionally and irrevocably guaranteed jointly and severally on a senior basis by certain of our existing and subsequently acquired subsidiaries, with certain exceptions as set forth in the 2026 Financing Agreement. The initial term facility matures on April 1, 2031 and the delayed draw facility is available through August 1, 2027.</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firstLine="551"/>
        <w:spacing w:after="0" w:line="268" w:lineRule="auto"/>
        <w:rPr>
          <w:sz w:val="20"/>
          <w:szCs w:val="20"/>
          <w:color w:val="auto"/>
        </w:rPr>
      </w:pPr>
      <w:r>
        <w:rPr>
          <w:rFonts w:ascii="Arial" w:cs="Arial" w:eastAsia="Arial" w:hAnsi="Arial"/>
          <w:sz w:val="15"/>
          <w:szCs w:val="15"/>
          <w:color w:val="auto"/>
        </w:rPr>
        <w:t>Interest rates for loans under the 2026 Financing Agreement are, at our option, Term SOFR Rate or Base Rate (each as defined in the 2026 Financing Agreement), plus an additional margin. For the initial term loan or delayed draw term loans, the additional margin is 5.00% for Term SOFR Rate loans and 4.00% for Base Rate loans. The applicable margin in respect of any incremental term loans will be provided in the applicable incremental amendment. We may elect interest periods of one, three or six months (or, if agreed by all relevant lenders, twelve or fewer months or a period of shorter than one month) for any Term SOFR Rate loans.</w:t>
      </w:r>
    </w:p>
    <w:p>
      <w:pPr>
        <w:spacing w:after="0" w:line="114" w:lineRule="exact"/>
        <w:rPr>
          <w:sz w:val="20"/>
          <w:szCs w:val="20"/>
          <w:color w:val="auto"/>
        </w:rPr>
      </w:pPr>
    </w:p>
    <w:p>
      <w:pPr>
        <w:ind w:right="60" w:firstLine="551"/>
        <w:spacing w:after="0" w:line="294" w:lineRule="auto"/>
        <w:rPr>
          <w:sz w:val="20"/>
          <w:szCs w:val="20"/>
          <w:color w:val="auto"/>
        </w:rPr>
      </w:pPr>
      <w:r>
        <w:rPr>
          <w:rFonts w:ascii="Arial" w:cs="Arial" w:eastAsia="Arial" w:hAnsi="Arial"/>
          <w:sz w:val="15"/>
          <w:szCs w:val="15"/>
          <w:color w:val="auto"/>
        </w:rPr>
        <w:t>The 2026 Financing Agreement contains a provision for mandatory prepayment upon the occurrence of certain events and provides for voluntary prepayment under certain conditions, with prepayments subject to a prepayment premium under certain conditions.</w:t>
      </w:r>
    </w:p>
    <w:p>
      <w:pPr>
        <w:spacing w:after="0" w:line="106" w:lineRule="exact"/>
        <w:rPr>
          <w:sz w:val="20"/>
          <w:szCs w:val="20"/>
          <w:color w:val="auto"/>
        </w:rPr>
      </w:pPr>
    </w:p>
    <w:p>
      <w:pPr>
        <w:ind w:firstLine="551"/>
        <w:spacing w:after="0" w:line="265" w:lineRule="auto"/>
        <w:rPr>
          <w:sz w:val="20"/>
          <w:szCs w:val="20"/>
          <w:color w:val="auto"/>
        </w:rPr>
      </w:pPr>
      <w:r>
        <w:rPr>
          <w:rFonts w:ascii="Arial" w:cs="Arial" w:eastAsia="Arial" w:hAnsi="Arial"/>
          <w:sz w:val="15"/>
          <w:szCs w:val="15"/>
          <w:color w:val="auto"/>
        </w:rPr>
        <w:t>Subject to the limitations set forth in the 2026 Financing Agreement, the obligations are secured on a first priority basis by substantially all of our and our subsidiaries’ assets. The 2026 Financing Agreement contains certain customary affirmative and negative covenants restricting asset dispositions, fundamental changes to our business, mergers or acquisitions, indebtedness, subordinated debt, encumbrances, distributions, investments, sale-leaseback transactions, payments on junior debt, transactions with affiliates, as well as a financial covenant requiring maintenance of minimum qualified cash (unrestricted cash or marketable securities in accounts subject to control agreements) of $50 million tested as of the last day of each fiscal quarter.</w:t>
      </w:r>
    </w:p>
    <w:p>
      <w:pPr>
        <w:spacing w:after="0" w:line="116" w:lineRule="exact"/>
        <w:rPr>
          <w:sz w:val="20"/>
          <w:szCs w:val="20"/>
          <w:color w:val="auto"/>
        </w:rPr>
      </w:pPr>
    </w:p>
    <w:p>
      <w:pPr>
        <w:ind w:firstLine="551"/>
        <w:spacing w:after="0" w:line="275" w:lineRule="auto"/>
        <w:rPr>
          <w:sz w:val="20"/>
          <w:szCs w:val="20"/>
          <w:color w:val="auto"/>
        </w:rPr>
      </w:pPr>
      <w:r>
        <w:rPr>
          <w:rFonts w:ascii="Arial" w:cs="Arial" w:eastAsia="Arial" w:hAnsi="Arial"/>
          <w:sz w:val="15"/>
          <w:szCs w:val="15"/>
          <w:color w:val="auto"/>
        </w:rPr>
        <w:t>The 2026 Financing Agreement contains certain usual and customary events of default, including failure to make payments when due, defaults in certain other agreements, breaches of covenants or representations, bankruptcy, and change of control. If an event of default occurs, the lenders under the 2026 Financing Agreement will be entitled to take various actions including acceleration of amounts due under the 2026 Financing Agreement.</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Requirements</w:t>
      </w:r>
    </w:p>
    <w:p>
      <w:pPr>
        <w:spacing w:after="0" w:line="172" w:lineRule="exact"/>
        <w:rPr>
          <w:sz w:val="20"/>
          <w:szCs w:val="20"/>
          <w:color w:val="auto"/>
        </w:rPr>
      </w:pPr>
    </w:p>
    <w:p>
      <w:pPr>
        <w:ind w:right="120" w:firstLine="551"/>
        <w:spacing w:after="0" w:line="275" w:lineRule="auto"/>
        <w:rPr>
          <w:sz w:val="20"/>
          <w:szCs w:val="20"/>
          <w:color w:val="auto"/>
        </w:rPr>
      </w:pPr>
      <w:r>
        <w:rPr>
          <w:rFonts w:ascii="Arial" w:cs="Arial" w:eastAsia="Arial" w:hAnsi="Arial"/>
          <w:sz w:val="15"/>
          <w:szCs w:val="15"/>
          <w:color w:val="auto"/>
        </w:rPr>
        <w:t>Our primary use of cash is to fund operating expenses and capital expenditures (including leases of equipment and buildings), which consist of research and development expenditures, general and administrative expenditures, selling and marketing expenditures, clinical and regulatory expenditures, purchases of testing equipment, and build out of our laboratories. Cash used to fund such activities is impacted by the timing of when we pay or prepay these expenses.</w:t>
      </w:r>
    </w:p>
    <w:p>
      <w:pPr>
        <w:spacing w:after="0" w:line="108" w:lineRule="exact"/>
        <w:rPr>
          <w:sz w:val="20"/>
          <w:szCs w:val="20"/>
          <w:color w:val="auto"/>
        </w:rPr>
      </w:pPr>
    </w:p>
    <w:p>
      <w:pPr>
        <w:ind w:right="180" w:firstLine="551"/>
        <w:spacing w:after="0" w:line="268" w:lineRule="auto"/>
        <w:rPr>
          <w:sz w:val="20"/>
          <w:szCs w:val="20"/>
          <w:color w:val="auto"/>
        </w:rPr>
      </w:pPr>
      <w:r>
        <w:rPr>
          <w:rFonts w:ascii="Arial" w:cs="Arial" w:eastAsia="Arial" w:hAnsi="Arial"/>
          <w:sz w:val="15"/>
          <w:szCs w:val="15"/>
          <w:color w:val="auto"/>
        </w:rPr>
        <w:t>We expect that we will continue to require additional capital to fund our operations and to continue to fund investments in the development and marketing of our solutions for the foreseeable future. In 2026, we expect to incur increased expenses related to commercial expansion and increase in pipeline trial activities. We may need or determine to raise additional capital through private or public equity or debt financings, through collaborative or other arrangements with corporate sources, or through other sources of financing. Requirements for additional capital will depend on many factors, including:</w:t>
      </w:r>
    </w:p>
    <w:p>
      <w:pPr>
        <w:spacing w:after="0" w:line="114" w:lineRule="exact"/>
        <w:rPr>
          <w:sz w:val="20"/>
          <w:szCs w:val="20"/>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scope, timing, rate of progress and costs of our research efforts, preclinical development activities, laboratory testing, and clinical trials for our solutions;</w:t>
      </w:r>
    </w:p>
    <w:p>
      <w:pPr>
        <w:spacing w:after="0" w:line="25" w:lineRule="exact"/>
        <w:rPr>
          <w:rFonts w:ascii="Arial" w:cs="Arial" w:eastAsia="Arial" w:hAnsi="Arial"/>
          <w:sz w:val="15"/>
          <w:szCs w:val="15"/>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number and scope of clinical programs we decide to pursue;</w:t>
      </w:r>
    </w:p>
    <w:p>
      <w:pPr>
        <w:spacing w:after="0" w:line="11" w:lineRule="exact"/>
        <w:rPr>
          <w:rFonts w:ascii="Arial" w:cs="Arial" w:eastAsia="Arial" w:hAnsi="Arial"/>
          <w:sz w:val="15"/>
          <w:szCs w:val="15"/>
          <w:color w:val="auto"/>
        </w:rPr>
      </w:pPr>
    </w:p>
    <w:p>
      <w:pPr>
        <w:ind w:left="540" w:right="560" w:hanging="273"/>
        <w:spacing w:after="0" w:line="255" w:lineRule="auto"/>
        <w:tabs>
          <w:tab w:leader="none" w:pos="51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of expanding, maintaining, and upgrading our laboratory infrastructure, including investments in sequencing capacity, equipment, and related technology;</w:t>
      </w: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 timing, and outcome of preparing for and undergoing regulatory review of our solutions;</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scope and costs of development and commercial manufacturing activities;</w:t>
      </w:r>
    </w:p>
    <w:p>
      <w:pPr>
        <w:spacing w:after="0" w:line="11" w:lineRule="exact"/>
        <w:rPr>
          <w:rFonts w:ascii="Arial" w:cs="Arial" w:eastAsia="Arial" w:hAnsi="Arial"/>
          <w:sz w:val="15"/>
          <w:szCs w:val="15"/>
          <w:color w:val="auto"/>
        </w:rPr>
      </w:pPr>
    </w:p>
    <w:p>
      <w:pPr>
        <w:ind w:left="540" w:right="300" w:hanging="273"/>
        <w:spacing w:after="0" w:line="255" w:lineRule="auto"/>
        <w:tabs>
          <w:tab w:leader="none" w:pos="51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 and timing associated with commercializing and marketing our solutions, including any regulatory authorization or marketing approval that may be required and the expansion of our commercial teams;</w:t>
      </w: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complementary solutions or technologies;</w:t>
      </w:r>
    </w:p>
    <w:p>
      <w:pPr>
        <w:spacing w:after="0" w:line="11" w:lineRule="exact"/>
        <w:rPr>
          <w:rFonts w:ascii="Arial" w:cs="Arial" w:eastAsia="Arial" w:hAnsi="Arial"/>
          <w:sz w:val="15"/>
          <w:szCs w:val="15"/>
          <w:color w:val="auto"/>
        </w:rPr>
      </w:pPr>
    </w:p>
    <w:p>
      <w:pPr>
        <w:ind w:left="540" w:hanging="273"/>
        <w:spacing w:after="0" w:line="255" w:lineRule="auto"/>
        <w:tabs>
          <w:tab w:leader="none" w:pos="51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of preparing, filing, and prosecuting patent applications, maintaining and enforcing our intellectual property rights, and defending intellectual property-related claims;</w:t>
      </w: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establish and maintain collaborations on favorable terms, if at all;</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efforts to enhance operational systems and our ability to attract, hire, and retain qualified personnel;</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success in achieving broad coverage and adequate reimbursement for our solutions from third-party payers;</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implementation of operational, financial, and management systems; and</w:t>
      </w:r>
    </w:p>
    <w:p>
      <w:pPr>
        <w:spacing w:after="0" w:line="11" w:lineRule="exact"/>
        <w:rPr>
          <w:rFonts w:ascii="Arial" w:cs="Arial" w:eastAsia="Arial" w:hAnsi="Arial"/>
          <w:sz w:val="15"/>
          <w:szCs w:val="15"/>
          <w:color w:val="auto"/>
        </w:rPr>
      </w:pPr>
    </w:p>
    <w:p>
      <w:pPr>
        <w:ind w:left="520" w:hanging="253"/>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associated with being a public company.</w:t>
      </w:r>
    </w:p>
    <w:p>
      <w:pPr>
        <w:spacing w:after="0" w:line="158" w:lineRule="exact"/>
        <w:rPr>
          <w:sz w:val="20"/>
          <w:szCs w:val="20"/>
          <w:color w:val="auto"/>
        </w:rPr>
      </w:pPr>
    </w:p>
    <w:p>
      <w:pPr>
        <w:ind w:right="180" w:firstLine="551"/>
        <w:spacing w:after="0" w:line="275" w:lineRule="auto"/>
        <w:rPr>
          <w:sz w:val="20"/>
          <w:szCs w:val="20"/>
          <w:color w:val="auto"/>
        </w:rPr>
      </w:pPr>
      <w:r>
        <w:rPr>
          <w:rFonts w:ascii="Arial" w:cs="Arial" w:eastAsia="Arial" w:hAnsi="Arial"/>
          <w:sz w:val="15"/>
          <w:szCs w:val="15"/>
          <w:color w:val="auto"/>
        </w:rPr>
        <w:t>A change in the outcome of any of these or other variables with respect to the development and commercialization of any of our solutions could significantly change the costs and timing associated with such development and commercialization. Furthermore, our operating plans may change in the future, and we will continue to require additional capital to meet operational needs and capital requirements associated with such operating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63" w:lineRule="exact"/>
        <w:rPr>
          <w:sz w:val="20"/>
          <w:szCs w:val="20"/>
          <w:color w:val="auto"/>
        </w:rPr>
      </w:pPr>
    </w:p>
    <w:p>
      <w:pPr>
        <w:ind w:right="40" w:firstLine="551"/>
        <w:spacing w:after="0" w:line="265" w:lineRule="auto"/>
        <w:rPr>
          <w:sz w:val="20"/>
          <w:szCs w:val="20"/>
          <w:color w:val="auto"/>
        </w:rPr>
      </w:pPr>
      <w:r>
        <w:rPr>
          <w:rFonts w:ascii="Arial" w:cs="Arial" w:eastAsia="Arial" w:hAnsi="Arial"/>
          <w:sz w:val="15"/>
          <w:szCs w:val="15"/>
          <w:color w:val="auto"/>
        </w:rPr>
        <w:t>Our condensed consolidated financial statements have been prepared in conformity with GAAP. Any reference in these notes to applicable guidance is meant to refer to GAAP as found in the Accounting Standards Codification (“ASC”) and Accounting Standards Updates (“ASUs”) of the Financial Accounting Standards Board (“FASB”). The preparation of the condensed consolidated financial statements in conformity with GAAP requires the use of estimates and assumptions that affect the reported amounts of assets and liabilities, the disclosure of contingent assets and liabilities at the date of the condensed consolidated financial statements, and the reported amounts of revenues and expenses during the reporting periods.</w:t>
      </w:r>
    </w:p>
    <w:p>
      <w:pPr>
        <w:spacing w:after="0" w:line="127" w:lineRule="exact"/>
        <w:rPr>
          <w:sz w:val="20"/>
          <w:szCs w:val="20"/>
          <w:color w:val="auto"/>
        </w:rPr>
      </w:pPr>
    </w:p>
    <w:p>
      <w:pPr>
        <w:ind w:right="300" w:firstLine="551"/>
        <w:spacing w:after="0" w:line="294" w:lineRule="auto"/>
        <w:rPr>
          <w:sz w:val="20"/>
          <w:szCs w:val="20"/>
          <w:color w:val="auto"/>
        </w:rPr>
      </w:pPr>
      <w:r>
        <w:rPr>
          <w:rFonts w:ascii="Arial" w:cs="Arial" w:eastAsia="Arial" w:hAnsi="Arial"/>
          <w:sz w:val="15"/>
          <w:szCs w:val="15"/>
          <w:color w:val="auto"/>
        </w:rPr>
        <w:t>There have been no material changes to our critical accounting policies and estimates during the three months ended March 31, 2026 as compared to the disclosures in our Annual Report on Form 10-K for the year ended December 31, 2025.</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Emerging Growth Company Status</w:t>
      </w:r>
    </w:p>
    <w:p>
      <w:pPr>
        <w:spacing w:after="0" w:line="163" w:lineRule="exact"/>
        <w:rPr>
          <w:sz w:val="20"/>
          <w:szCs w:val="20"/>
          <w:color w:val="auto"/>
        </w:rPr>
      </w:pPr>
    </w:p>
    <w:p>
      <w:pPr>
        <w:ind w:right="80" w:firstLine="551"/>
        <w:spacing w:after="0" w:line="261" w:lineRule="auto"/>
        <w:rPr>
          <w:sz w:val="20"/>
          <w:szCs w:val="20"/>
          <w:color w:val="auto"/>
        </w:rPr>
      </w:pPr>
      <w:r>
        <w:rPr>
          <w:rFonts w:ascii="Arial" w:cs="Arial" w:eastAsia="Arial" w:hAnsi="Arial"/>
          <w:sz w:val="15"/>
          <w:szCs w:val="15"/>
          <w:color w:val="auto"/>
        </w:rPr>
        <w:t>The JOBS Act permits an “emerging growth company” such as us to delay the adoption of new or revised accounting standards until those standards would otherwise apply to private companies. We have elected to avail ourselves of this extended transition period for complying with new or revised accounting standards and, as a result, our results of operations and financial statements may not be comparable to those of companies that have adopted the new or revised accounting standards. We will remain an emerging growth company until the earliest to occur of: (1) the last day of the fiscal year in which we have at least $1.235 billion in total annual gross revenue; (2)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(3) the date on which we have issued more than $ 1.0 billion in non-convertible debt securities during the prior three-year period; and (4) the last day of the fiscal year ending after the fifth anniversary of the date of the completion of the IPO (</w:t>
      </w:r>
      <w:r>
        <w:rPr>
          <w:rFonts w:ascii="Arial" w:cs="Arial" w:eastAsia="Arial" w:hAnsi="Arial"/>
          <w:sz w:val="15"/>
          <w:szCs w:val="15"/>
          <w:i w:val="1"/>
          <w:iCs w:val="1"/>
          <w:color w:val="auto"/>
        </w:rPr>
        <w:t>i.e.</w:t>
      </w:r>
      <w:r>
        <w:rPr>
          <w:rFonts w:ascii="Arial" w:cs="Arial" w:eastAsia="Arial" w:hAnsi="Arial"/>
          <w:sz w:val="15"/>
          <w:szCs w:val="15"/>
          <w:color w:val="auto"/>
        </w:rPr>
        <w:t xml:space="preserve"> the fiscal year ending December 31, 2030).</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See </w:t>
      </w:r>
      <w:r>
        <w:rPr>
          <w:rFonts w:ascii="Arial" w:cs="Arial" w:eastAsia="Arial" w:hAnsi="Arial"/>
          <w:sz w:val="15"/>
          <w:szCs w:val="15"/>
          <w:u w:val="single" w:color="auto"/>
          <w:color w:val="0000FF"/>
        </w:rPr>
        <w:t>Note 2</w:t>
      </w:r>
      <w:r>
        <w:rPr>
          <w:rFonts w:ascii="Arial" w:cs="Arial" w:eastAsia="Arial" w:hAnsi="Arial"/>
          <w:sz w:val="15"/>
          <w:szCs w:val="15"/>
          <w:color w:val="auto"/>
        </w:rPr>
        <w:t xml:space="preserve"> of our condensed consolidated financial statements for more information regarding recently issued accounting pronouncements.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61" w:lineRule="exact"/>
        <w:rPr>
          <w:sz w:val="20"/>
          <w:szCs w:val="20"/>
          <w:color w:val="auto"/>
        </w:rPr>
      </w:pPr>
    </w:p>
    <w:p>
      <w:pPr>
        <w:ind w:firstLine="551"/>
        <w:spacing w:after="0" w:line="265"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March 31, 2026, we had cash, cash equivalents, and restricted cash of $823.4 million, and short-term marketable securities of $2.3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investments.</w:t>
      </w:r>
    </w:p>
    <w:p>
      <w:pPr>
        <w:spacing w:after="0" w:line="116" w:lineRule="exact"/>
        <w:rPr>
          <w:sz w:val="20"/>
          <w:szCs w:val="20"/>
          <w:color w:val="auto"/>
        </w:rPr>
      </w:pPr>
    </w:p>
    <w:p>
      <w:pPr>
        <w:ind w:right="160" w:firstLine="551"/>
        <w:spacing w:after="0" w:line="265" w:lineRule="auto"/>
        <w:rPr>
          <w:sz w:val="20"/>
          <w:szCs w:val="20"/>
          <w:color w:val="auto"/>
        </w:rPr>
      </w:pPr>
      <w:r>
        <w:rPr>
          <w:rFonts w:ascii="Arial" w:cs="Arial" w:eastAsia="Arial" w:hAnsi="Arial"/>
          <w:sz w:val="15"/>
          <w:szCs w:val="15"/>
          <w:color w:val="auto"/>
        </w:rPr>
        <w:t>Our borrowings under the 2023 Term Loan Agreement also subject us to market risk associated with movements in interest rates associated with forward-looking three-month SOFR. We had $400.0 million in variable rate debt outstanding as of March 31, 2026. A hypothetical 100 basis point adverse movement in the interest rate would increase our annual interest expense by $4.0 million. We hedged interest rate risk on $200.0 million of this variable rate debt with a purchased interest rate cap derivative that had a strike rate of 6.0%, which matured in February 2026. We did not receive any settlement payments from the counterparty to the interest rate cap for the year ended December 31, 2025 or the three months ended March 31, 2026.</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Risk</w:t>
      </w:r>
    </w:p>
    <w:p>
      <w:pPr>
        <w:spacing w:after="0" w:line="161" w:lineRule="exact"/>
        <w:rPr>
          <w:sz w:val="20"/>
          <w:szCs w:val="20"/>
          <w:color w:val="auto"/>
        </w:rPr>
      </w:pPr>
    </w:p>
    <w:p>
      <w:pPr>
        <w:ind w:right="160" w:firstLine="551"/>
        <w:spacing w:after="0" w:line="268" w:lineRule="auto"/>
        <w:rPr>
          <w:sz w:val="20"/>
          <w:szCs w:val="20"/>
          <w:color w:val="auto"/>
        </w:rPr>
      </w:pPr>
      <w:r>
        <w:rPr>
          <w:rFonts w:ascii="Arial" w:cs="Arial" w:eastAsia="Arial" w:hAnsi="Arial"/>
          <w:sz w:val="15"/>
          <w:szCs w:val="15"/>
          <w:color w:val="auto"/>
        </w:rPr>
        <w:t>Substantially all of our revenue is generated in the United States, and we do not believe we are currently subject to significant foreign currency risk. To date, foreign currency transaction gains and losses have not had a material impact on our operations, and we have not engaged in any foreign currency hedging transactions. As we expand our presence in the international market, our results of operations and cash flows are expected to increasingly be subject to fluctuations due to changes in foreign currency exchange rates and may be adversely affected in the future due to changes in foreign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920"/>
        <w:spacing w:after="0" w:line="471" w:lineRule="auto"/>
        <w:rPr>
          <w:sz w:val="20"/>
          <w:szCs w:val="20"/>
          <w:color w:val="auto"/>
        </w:rPr>
      </w:pPr>
      <w:r>
        <w:rPr>
          <w:rFonts w:ascii="Arial" w:cs="Arial" w:eastAsia="Arial" w:hAnsi="Arial"/>
          <w:sz w:val="15"/>
          <w:szCs w:val="15"/>
          <w:color w:val="auto"/>
        </w:rPr>
        <w:t xml:space="preserve">exchange rates. We will continue to reassess our approach to manage risk relating to fluctuations in currency rates as our international operations grow. </w:t>
      </w:r>
      <w:r>
        <w:rPr>
          <w:rFonts w:ascii="Arial" w:cs="Arial" w:eastAsia="Arial" w:hAnsi="Arial"/>
          <w:sz w:val="15"/>
          <w:szCs w:val="15"/>
          <w:b w:val="1"/>
          <w:bCs w:val="1"/>
          <w:i w:val="1"/>
          <w:iCs w:val="1"/>
          <w:color w:val="auto"/>
        </w:rPr>
        <w:t>Inflation Risk</w:t>
      </w:r>
    </w:p>
    <w:p>
      <w:pPr>
        <w:ind w:firstLine="551"/>
        <w:spacing w:after="0" w:line="268" w:lineRule="auto"/>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Limitations on Effectiveness of Controls and Procedures</w:t>
      </w:r>
    </w:p>
    <w:p>
      <w:pPr>
        <w:spacing w:after="0" w:line="172" w:lineRule="exact"/>
        <w:rPr>
          <w:sz w:val="20"/>
          <w:szCs w:val="20"/>
          <w:color w:val="auto"/>
        </w:rPr>
      </w:pPr>
    </w:p>
    <w:p>
      <w:pPr>
        <w:jc w:val="both"/>
        <w:ind w:right="40" w:firstLine="551"/>
        <w:spacing w:after="0" w:line="268"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61" w:lineRule="exact"/>
        <w:rPr>
          <w:sz w:val="20"/>
          <w:szCs w:val="20"/>
          <w:color w:val="auto"/>
        </w:rPr>
      </w:pPr>
    </w:p>
    <w:p>
      <w:pPr>
        <w:ind w:right="60" w:firstLine="551"/>
        <w:spacing w:after="0" w:line="263"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not effective at the reasonable assurance level as of March 31, 2026 due to the previously reported material weakness in our internal control over financial reporting pertaining to a lack of sufficient qualified accounting resources, including those necessary to account for and disclose accounting transactions that require complex calculations or thorough evaluation of the accounting literature.</w:t>
      </w:r>
    </w:p>
    <w:p>
      <w:pPr>
        <w:spacing w:after="0" w:line="129" w:lineRule="exact"/>
        <w:rPr>
          <w:sz w:val="20"/>
          <w:szCs w:val="20"/>
          <w:color w:val="auto"/>
        </w:rPr>
      </w:pPr>
    </w:p>
    <w:p>
      <w:pPr>
        <w:ind w:right="100" w:firstLine="551"/>
        <w:spacing w:after="0" w:line="275" w:lineRule="auto"/>
        <w:rPr>
          <w:sz w:val="20"/>
          <w:szCs w:val="20"/>
          <w:color w:val="auto"/>
        </w:rPr>
      </w:pPr>
      <w:r>
        <w:rPr>
          <w:rFonts w:ascii="Arial" w:cs="Arial" w:eastAsia="Arial" w:hAnsi="Arial"/>
          <w:sz w:val="15"/>
          <w:szCs w:val="15"/>
          <w:color w:val="auto"/>
        </w:rPr>
        <w:t>Notwithstanding the material weakness in our internal control over financial reporting as of March 31, 2026, management believes that the condensed consolidated financial statements included in this Form 10 -Q present fairly, in all material respects, our financial position, results of operations and cash flows for the periods presented in conformity with accounting principles generally accepted in the United States.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161" w:lineRule="exact"/>
        <w:rPr>
          <w:sz w:val="20"/>
          <w:szCs w:val="20"/>
          <w:color w:val="auto"/>
        </w:rPr>
      </w:pPr>
    </w:p>
    <w:p>
      <w:pPr>
        <w:ind w:right="560" w:firstLine="551"/>
        <w:spacing w:after="0" w:line="294" w:lineRule="auto"/>
        <w:rPr>
          <w:sz w:val="20"/>
          <w:szCs w:val="20"/>
          <w:color w:val="auto"/>
        </w:rPr>
      </w:pPr>
      <w:r>
        <w:rPr>
          <w:rFonts w:ascii="Arial" w:cs="Arial" w:eastAsia="Arial" w:hAnsi="Arial"/>
          <w:sz w:val="15"/>
          <w:szCs w:val="15"/>
          <w:color w:val="auto"/>
        </w:rPr>
        <w:t>During the quarter ended March 31, 2026, we continued our remediation efforts in connection with the previously identified material weakness. These remediation steps are ongoing and include the following:</w:t>
      </w:r>
    </w:p>
    <w:p>
      <w:pPr>
        <w:spacing w:after="0" w:line="106" w:lineRule="exact"/>
        <w:rPr>
          <w:sz w:val="20"/>
          <w:szCs w:val="20"/>
          <w:color w:val="auto"/>
        </w:rPr>
      </w:pPr>
    </w:p>
    <w:p>
      <w:pPr>
        <w:ind w:left="540" w:right="20" w:hanging="273"/>
        <w:spacing w:after="0" w:line="265" w:lineRule="auto"/>
        <w:tabs>
          <w:tab w:leader="none" w:pos="513"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implementation of controls to enhance our review of significant accounting transactions and other new technical accounting and financial reporting issues and the preparation and review of accounting memoranda addressing these issues;</w:t>
      </w:r>
    </w:p>
    <w:p>
      <w:pPr>
        <w:ind w:left="520" w:hanging="253"/>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implementation of controls to enable an effective and timely review of account analyses and account reconciliations; and</w:t>
      </w:r>
    </w:p>
    <w:p>
      <w:pPr>
        <w:spacing w:after="0" w:line="11" w:lineRule="exact"/>
        <w:rPr>
          <w:rFonts w:ascii="Arial" w:cs="Arial" w:eastAsia="Arial" w:hAnsi="Arial"/>
          <w:sz w:val="15"/>
          <w:szCs w:val="15"/>
          <w:color w:val="auto"/>
        </w:rPr>
      </w:pPr>
    </w:p>
    <w:p>
      <w:pPr>
        <w:ind w:left="540" w:hanging="273"/>
        <w:spacing w:after="0" w:line="275" w:lineRule="auto"/>
        <w:tabs>
          <w:tab w:leader="none" w:pos="513"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continued hiring of additional accounting and finance resources with public company experience and expanding the capabilities of the existing accounting and financial personnel through continuous training and education in the accounting and reporting requirements under GAAP and SEC rules and regulations.</w:t>
      </w:r>
    </w:p>
    <w:p>
      <w:pPr>
        <w:spacing w:after="0" w:line="107" w:lineRule="exact"/>
        <w:rPr>
          <w:sz w:val="20"/>
          <w:szCs w:val="20"/>
          <w:color w:val="auto"/>
        </w:rPr>
      </w:pPr>
    </w:p>
    <w:p>
      <w:pPr>
        <w:ind w:right="160" w:firstLine="551"/>
        <w:spacing w:after="0" w:line="263" w:lineRule="auto"/>
        <w:rPr>
          <w:sz w:val="20"/>
          <w:szCs w:val="20"/>
          <w:color w:val="auto"/>
        </w:rPr>
      </w:pPr>
      <w:r>
        <w:rPr>
          <w:rFonts w:ascii="Arial" w:cs="Arial" w:eastAsia="Arial" w:hAnsi="Arial"/>
          <w:sz w:val="15"/>
          <w:szCs w:val="15"/>
          <w:color w:val="auto"/>
        </w:rPr>
        <w:t>Our management has worked, and continues to work, to strengthen our internal control over financial reporting. We are committed to ensuring that controls are designed and implemented. The previously identified material weakness will not be considered remediated until the applicable remedial controls operate for a sufficient period of time and management has concluded, through testing, that these controls are operating effectively. We will not be able to conclude whether the steps we are taking will fully remediate the material weakness in our internal control over financial reporting until we have completed our remediation efforts and subsequent evaluation of their effectiveness. We may also conclude that additional measures may be required to remediate the material weakness in our internal control over financial reporting, which may necessitate additional implementation and evaluation time.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firstLine="551"/>
        <w:spacing w:after="0" w:line="286" w:lineRule="auto"/>
        <w:rPr>
          <w:sz w:val="20"/>
          <w:szCs w:val="20"/>
          <w:color w:val="auto"/>
        </w:rPr>
      </w:pPr>
      <w:r>
        <w:rPr>
          <w:rFonts w:ascii="Arial" w:cs="Arial" w:eastAsia="Arial" w:hAnsi="Arial"/>
          <w:sz w:val="15"/>
          <w:szCs w:val="15"/>
          <w:color w:val="auto"/>
        </w:rPr>
        <w:t>Other than the foregoing actions to remediate our material weakness, there was no change in our internal control over financial reporting identified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174" w:lineRule="exact"/>
        <w:rPr>
          <w:sz w:val="20"/>
          <w:szCs w:val="20"/>
          <w:color w:val="auto"/>
        </w:rPr>
      </w:pPr>
    </w:p>
    <w:p>
      <w:pPr>
        <w:ind w:right="80" w:firstLine="551"/>
        <w:spacing w:after="0" w:line="261" w:lineRule="auto"/>
        <w:rPr>
          <w:sz w:val="20"/>
          <w:szCs w:val="20"/>
          <w:color w:val="auto"/>
        </w:rPr>
      </w:pPr>
      <w:r>
        <w:rPr>
          <w:rFonts w:ascii="Arial" w:cs="Arial" w:eastAsia="Arial" w:hAnsi="Arial"/>
          <w:sz w:val="15"/>
          <w:szCs w:val="15"/>
          <w:color w:val="auto"/>
        </w:rPr>
        <w:t>In March 2025, the Company received a Civil Investigative Demand (“CID”) from the U.S. Department of Justice in connection with an investigation under the False Claims Act (“FCA”) regarding the Company’s compliance with Medicare’s date of service rule (also referred to as the 14-day rule), particularly focused on patients of certain health care providers, and our policies, procedures, and training related to compliance with the 14-day rule. The related investigation continues to evolve and is in too early a stage to assess potential outcomes. The Company is cooperating with the investigation. We have implemented compliance policies, procedures, and training designed to foster compliance with the 14-day rule, but there can be no certainties regarding the outcome of this CID. In June 2022, we entered into a settlement agreement with the United States in connection with a previous investigation into our compliance with the 14-day rule. Pursuant to this settlement agreement, under which we admitted no fault or liability, we paid approximately $2.9 million in restitution and penalties and we obtained a nationwide release from all 14-day rule claims prior to January 1, 2018.</w:t>
      </w:r>
    </w:p>
    <w:p>
      <w:pPr>
        <w:spacing w:after="0" w:line="118" w:lineRule="exact"/>
        <w:rPr>
          <w:sz w:val="20"/>
          <w:szCs w:val="20"/>
          <w:color w:val="auto"/>
        </w:rPr>
      </w:pPr>
    </w:p>
    <w:p>
      <w:pPr>
        <w:ind w:firstLine="551"/>
        <w:spacing w:after="0" w:line="268" w:lineRule="auto"/>
        <w:rPr>
          <w:sz w:val="20"/>
          <w:szCs w:val="20"/>
          <w:color w:val="auto"/>
        </w:rPr>
      </w:pPr>
      <w:r>
        <w:rPr>
          <w:rFonts w:ascii="Arial" w:cs="Arial" w:eastAsia="Arial" w:hAnsi="Arial"/>
          <w:sz w:val="15"/>
          <w:szCs w:val="15"/>
          <w:color w:val="auto"/>
        </w:rPr>
        <w:t>In addition to the matter described above, we are, from time to time, party to various claims and legal proceedings arising out of our ordinary course of business, including claims or proceedings relating to, among other things, regulatory matters, intellectual property, competition, tax, and employment matters, medical malpractice, product or professional liability or other tort claims. We cannot predict with certainty the results of any claims or proceedings. We may receive unfavorable preliminary or interim rulings in the course of litigation, and there can be no assurances that favorable final outcomes will be obtained.</w:t>
      </w:r>
    </w:p>
    <w:p>
      <w:pPr>
        <w:spacing w:after="0" w:line="114" w:lineRule="exact"/>
        <w:rPr>
          <w:sz w:val="20"/>
          <w:szCs w:val="20"/>
          <w:color w:val="auto"/>
        </w:rPr>
      </w:pPr>
    </w:p>
    <w:p>
      <w:pPr>
        <w:ind w:right="60" w:firstLine="551"/>
        <w:spacing w:after="0" w:line="265" w:lineRule="auto"/>
        <w:rPr>
          <w:sz w:val="20"/>
          <w:szCs w:val="20"/>
          <w:color w:val="auto"/>
        </w:rPr>
      </w:pPr>
      <w:r>
        <w:rPr>
          <w:rFonts w:ascii="Arial" w:cs="Arial" w:eastAsia="Arial" w:hAnsi="Arial"/>
          <w:sz w:val="15"/>
          <w:szCs w:val="15"/>
          <w:color w:val="auto"/>
        </w:rPr>
        <w:t>Moreover, the existence of any claim or legal proceeding, regardless of the outcome, may adversely impact us because of diversion of management time and attention as well as the financial costs related to resolving such disputes. For additional information, see Part I, Item 1A, “Risk Factors—Risks Related to Regulation and Legal Compliance—We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 of our Annual Report on Form 10-K for the fiscal year ended December 31, 2025, filed with the SEC on March 3, 2026.</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63" w:lineRule="exact"/>
        <w:rPr>
          <w:sz w:val="20"/>
          <w:szCs w:val="20"/>
          <w:color w:val="auto"/>
        </w:rPr>
      </w:pPr>
    </w:p>
    <w:p>
      <w:pPr>
        <w:ind w:right="20" w:firstLine="551"/>
        <w:spacing w:after="0" w:line="265" w:lineRule="auto"/>
        <w:rPr>
          <w:sz w:val="20"/>
          <w:szCs w:val="20"/>
          <w:color w:val="auto"/>
        </w:rPr>
      </w:pPr>
      <w:r>
        <w:rPr>
          <w:rFonts w:ascii="Arial" w:cs="Arial" w:eastAsia="Arial" w:hAnsi="Arial"/>
          <w:sz w:val="15"/>
          <w:szCs w:val="15"/>
          <w:color w:val="auto"/>
        </w:rPr>
        <w:t>Our business faces a number of risks and uncertainties, whether currently known or unknown, including risks specific to us or our industry as well as risks that affect businesses in general. In addition to the information set forth in this Quarterly Report on Form 10-Q, you should carefully consider the risks discussed in Part I, Item 1A, "Risk Factors" in our Annual Report on Form 10-K for the fiscal year ended December 31, 2025, filed with the SEC on March 3, 2026. The risks and uncertainties disclosed in such Annual Report could materially adversely affect our business, financial condition, cash flows or results of operations and thus our stock price. Additional risks and uncertainties that we are not currently aware of, or that we currently believe are not material, may also adversely affect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Proceeds</w:t>
      </w:r>
    </w:p>
    <w:p>
      <w:pPr>
        <w:spacing w:after="0" w:line="161" w:lineRule="exact"/>
        <w:rPr>
          <w:sz w:val="20"/>
          <w:szCs w:val="20"/>
          <w:color w:val="auto"/>
        </w:rPr>
      </w:pPr>
    </w:p>
    <w:p>
      <w:pPr>
        <w:ind w:right="180" w:firstLine="551"/>
        <w:spacing w:after="0" w:line="265" w:lineRule="auto"/>
        <w:rPr>
          <w:sz w:val="20"/>
          <w:szCs w:val="20"/>
          <w:color w:val="auto"/>
        </w:rPr>
      </w:pPr>
      <w:r>
        <w:rPr>
          <w:rFonts w:ascii="Arial" w:cs="Arial" w:eastAsia="Arial" w:hAnsi="Arial"/>
          <w:sz w:val="15"/>
          <w:szCs w:val="15"/>
          <w:color w:val="auto"/>
        </w:rPr>
        <w:t>On June 20, 2025, we completed our initial public offering in which we issued and sold 23,529,412 shares of our common stock at a public offering price of $21.00 per share, and on June 25, 2025 we issued and sold an additional 3,529,411 shares of common stock pursuant to the underwriters’ exercise in full of their option to purchase additional shares. We received net proceeds of $519.5 million after deducting underwriting discounts and commissions of $39.8 million and deducting offering expenses of $9.0 million. No payments for such expenses were made directly or indirectly to (i) any of our officers or directors or their associates, (ii) any persons owning 10% or more of any class of our equity securities or (iii) any of our affiliates.</w:t>
      </w:r>
    </w:p>
    <w:p>
      <w:pPr>
        <w:spacing w:after="0" w:line="116" w:lineRule="exact"/>
        <w:rPr>
          <w:sz w:val="20"/>
          <w:szCs w:val="20"/>
          <w:color w:val="auto"/>
        </w:rPr>
      </w:pPr>
    </w:p>
    <w:p>
      <w:pPr>
        <w:jc w:val="both"/>
        <w:ind w:right="100" w:firstLine="551"/>
        <w:spacing w:after="0" w:line="275" w:lineRule="auto"/>
        <w:rPr>
          <w:sz w:val="20"/>
          <w:szCs w:val="20"/>
          <w:color w:val="auto"/>
        </w:rPr>
      </w:pPr>
      <w:r>
        <w:rPr>
          <w:rFonts w:ascii="Arial" w:cs="Arial" w:eastAsia="Arial" w:hAnsi="Arial"/>
          <w:sz w:val="15"/>
          <w:szCs w:val="15"/>
          <w:color w:val="auto"/>
        </w:rPr>
        <w:t>All shares sold were registered pursuant to a registration statement on Form S-1 (File No. 333-287551), as amended (the “Registration statement”), declared effective by the SEC on June 17, 2025. The offering terminated after the sale of all securities registered pursuant to the Registration Statement. BofA Securities, Inc., J.P. Morgan Securities LLC, Goldman Sachs &amp; Co. LLC, and Citigroup Global Markets Inc. acted as representatives of the underwriters for the IPO.</w:t>
      </w:r>
    </w:p>
    <w:p>
      <w:pPr>
        <w:spacing w:after="0" w:line="119" w:lineRule="exact"/>
        <w:rPr>
          <w:sz w:val="20"/>
          <w:szCs w:val="20"/>
          <w:color w:val="auto"/>
        </w:rPr>
      </w:pPr>
    </w:p>
    <w:p>
      <w:pPr>
        <w:jc w:val="both"/>
        <w:ind w:right="100" w:firstLine="551"/>
        <w:spacing w:after="0" w:line="294" w:lineRule="auto"/>
        <w:rPr>
          <w:sz w:val="20"/>
          <w:szCs w:val="20"/>
          <w:color w:val="auto"/>
        </w:rPr>
      </w:pPr>
      <w:r>
        <w:rPr>
          <w:rFonts w:ascii="Arial" w:cs="Arial" w:eastAsia="Arial" w:hAnsi="Arial"/>
          <w:sz w:val="15"/>
          <w:szCs w:val="15"/>
          <w:color w:val="auto"/>
        </w:rPr>
        <w:t>We used a portion of the net proceeds from our IPO to satisfy tax withholding and remittance obligations related to the settlement of RSUs granted under our 2020 Plan that vested in connection with the initial public offering. There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178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180"/>
        <w:spacing w:after="0" w:line="294" w:lineRule="auto"/>
        <w:rPr>
          <w:sz w:val="20"/>
          <w:szCs w:val="20"/>
          <w:color w:val="auto"/>
        </w:rPr>
      </w:pPr>
      <w:r>
        <w:rPr>
          <w:rFonts w:ascii="Arial" w:cs="Arial" w:eastAsia="Arial" w:hAnsi="Arial"/>
          <w:sz w:val="15"/>
          <w:szCs w:val="15"/>
          <w:color w:val="auto"/>
        </w:rPr>
        <w:t>has been no material change in the expected use of the net proceeds from our IPO as described in the final prospectus dated as of June 17, 2025 and filed with the SEC pursuant to Rule 424(b)(4) on June 20, 2025.</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Disclosure of Trading Arrangements</w:t>
      </w:r>
    </w:p>
    <w:p>
      <w:pPr>
        <w:spacing w:after="0" w:line="161" w:lineRule="exact"/>
        <w:rPr>
          <w:sz w:val="20"/>
          <w:szCs w:val="20"/>
          <w:color w:val="auto"/>
        </w:rPr>
      </w:pPr>
    </w:p>
    <w:p>
      <w:pPr>
        <w:ind w:firstLine="551"/>
        <w:spacing w:after="0" w:line="294" w:lineRule="auto"/>
        <w:rPr>
          <w:sz w:val="20"/>
          <w:szCs w:val="20"/>
          <w:color w:val="auto"/>
        </w:rPr>
      </w:pPr>
      <w:r>
        <w:rPr>
          <w:rFonts w:ascii="Arial" w:cs="Arial" w:eastAsia="Arial" w:hAnsi="Arial"/>
          <w:sz w:val="15"/>
          <w:szCs w:val="15"/>
          <w:color w:val="auto"/>
        </w:rPr>
        <w:t>During the fiscal quarter ended March 31, 2026, none of our directors or officers (as defined in Rule 16a-1(f) under the Exchange Act) adopted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76835</wp:posOffset>
            </wp:positionV>
            <wp:extent cx="717804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4560" w:type="dxa"/>
            <w:vAlign w:val="bottom"/>
            <w:gridSpan w:val="21"/>
          </w:tcPr>
          <w:p>
            <w:pPr>
              <w:spacing w:after="0"/>
              <w:rPr>
                <w:sz w:val="20"/>
                <w:szCs w:val="20"/>
                <w:color w:val="auto"/>
              </w:rPr>
            </w:pPr>
            <w:r>
              <w:rPr>
                <w:rFonts w:ascii="Arial" w:cs="Arial" w:eastAsia="Arial" w:hAnsi="Arial"/>
                <w:sz w:val="15"/>
                <w:szCs w:val="15"/>
                <w:b w:val="1"/>
                <w:bCs w:val="1"/>
                <w:color w:val="0000FF"/>
              </w:rPr>
              <w:t>Table of Contents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713"/>
        </w:trPr>
        <w:tc>
          <w:tcPr>
            <w:tcW w:w="1180" w:type="dxa"/>
            <w:vAlign w:val="bottom"/>
            <w:tcBorders>
              <w:top w:val="single" w:sz="8" w:color="0000FF"/>
            </w:tcBorders>
            <w:gridSpan w:val="2"/>
          </w:tcPr>
          <w:p>
            <w:pPr>
              <w:jc w:val="center"/>
              <w:ind w:right="60"/>
              <w:spacing w:after="0"/>
              <w:rPr>
                <w:sz w:val="20"/>
                <w:szCs w:val="20"/>
                <w:color w:val="auto"/>
              </w:rPr>
            </w:pPr>
            <w:r>
              <w:rPr>
                <w:rFonts w:ascii="Arial" w:cs="Arial" w:eastAsia="Arial" w:hAnsi="Arial"/>
                <w:sz w:val="15"/>
                <w:szCs w:val="15"/>
                <w:b w:val="1"/>
                <w:bCs w:val="1"/>
                <w:color w:val="auto"/>
              </w:rPr>
              <w:t>Item 6. Exhibits</w:t>
            </w: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3"/>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680"/>
              <w:spacing w:after="0"/>
              <w:rPr>
                <w:sz w:val="20"/>
                <w:szCs w:val="20"/>
                <w:color w:val="auto"/>
              </w:rPr>
            </w:pPr>
            <w:r>
              <w:rPr>
                <w:rFonts w:ascii="Arial" w:cs="Arial" w:eastAsia="Arial" w:hAnsi="Arial"/>
                <w:sz w:val="15"/>
                <w:szCs w:val="15"/>
                <w:b w:val="1"/>
                <w:bCs w:val="1"/>
                <w:color w:val="auto"/>
              </w:rPr>
              <w:t>Incorporated by Reference</w:t>
            </w: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0"/>
        </w:trPr>
        <w:tc>
          <w:tcPr>
            <w:tcW w:w="11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9"/>
              </w:rPr>
              <w:t>Exhibit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rPr>
              <w:t>Exhibit</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Filed or Furnished</w:t>
            </w:r>
          </w:p>
        </w:tc>
      </w:tr>
      <w:tr>
        <w:trPr>
          <w:trHeight w:val="217"/>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4"/>
          </w:tcPr>
          <w:p>
            <w:pPr>
              <w:ind w:left="440"/>
              <w:spacing w:after="0"/>
              <w:rPr>
                <w:sz w:val="20"/>
                <w:szCs w:val="20"/>
                <w:color w:val="auto"/>
              </w:rPr>
            </w:pPr>
            <w:r>
              <w:rPr>
                <w:rFonts w:ascii="Arial" w:cs="Arial" w:eastAsia="Arial" w:hAnsi="Arial"/>
                <w:sz w:val="15"/>
                <w:szCs w:val="15"/>
                <w:b w:val="1"/>
                <w:bCs w:val="1"/>
                <w:color w:val="auto"/>
              </w:rPr>
              <w:t>Description of Exhibit</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Form</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File No.</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Filing Date</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Herewith</w:t>
            </w:r>
          </w:p>
        </w:tc>
      </w:tr>
      <w:tr>
        <w:trPr>
          <w:trHeight w:val="170"/>
        </w:trPr>
        <w:tc>
          <w:tcPr>
            <w:tcW w:w="1100" w:type="dxa"/>
            <w:vAlign w:val="bottom"/>
          </w:tcPr>
          <w:p>
            <w:pPr>
              <w:jc w:val="center"/>
              <w:spacing w:after="0" w:line="170" w:lineRule="exact"/>
              <w:rPr>
                <w:sz w:val="20"/>
                <w:szCs w:val="20"/>
                <w:color w:val="auto"/>
              </w:rPr>
            </w:pPr>
            <w:r>
              <w:rPr>
                <w:rFonts w:ascii="Arial" w:cs="Arial" w:eastAsia="Arial" w:hAnsi="Arial"/>
                <w:sz w:val="15"/>
                <w:szCs w:val="15"/>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bottom w:val="single" w:sz="8" w:color="0000FF"/>
            </w:tcBorders>
            <w:gridSpan w:val="16"/>
          </w:tcPr>
          <w:p>
            <w:pPr>
              <w:spacing w:after="0" w:line="170" w:lineRule="exact"/>
              <w:rPr>
                <w:rFonts w:ascii="Arial" w:cs="Arial" w:eastAsia="Arial" w:hAnsi="Arial"/>
                <w:sz w:val="15"/>
                <w:szCs w:val="15"/>
                <w:color w:val="0000FF"/>
              </w:rPr>
            </w:pPr>
            <w:hyperlink r:id="rId57">
              <w:r>
                <w:rPr>
                  <w:rFonts w:ascii="Arial" w:cs="Arial" w:eastAsia="Arial" w:hAnsi="Arial"/>
                  <w:sz w:val="15"/>
                  <w:szCs w:val="15"/>
                  <w:color w:val="0000FF"/>
                </w:rPr>
                <w:t>Amended and Restated Certificate of Formation</w:t>
              </w:r>
            </w:hyperlink>
          </w:p>
        </w:tc>
        <w:tc>
          <w:tcPr>
            <w:tcW w:w="100" w:type="dxa"/>
            <w:vAlign w:val="bottom"/>
            <w:gridSpan w:val="2"/>
          </w:tcPr>
          <w:p>
            <w:pPr>
              <w:spacing w:after="0"/>
              <w:rPr>
                <w:sz w:val="14"/>
                <w:szCs w:val="14"/>
                <w:color w:val="auto"/>
              </w:rPr>
            </w:pPr>
          </w:p>
        </w:tc>
        <w:tc>
          <w:tcPr>
            <w:tcW w:w="940" w:type="dxa"/>
            <w:vAlign w:val="bottom"/>
            <w:gridSpan w:val="2"/>
          </w:tcPr>
          <w:p>
            <w:pPr>
              <w:jc w:val="center"/>
              <w:ind w:right="60"/>
              <w:spacing w:after="0" w:line="170" w:lineRule="exact"/>
              <w:rPr>
                <w:sz w:val="20"/>
                <w:szCs w:val="20"/>
                <w:color w:val="auto"/>
              </w:rPr>
            </w:pPr>
            <w:r>
              <w:rPr>
                <w:rFonts w:ascii="Arial" w:cs="Arial" w:eastAsia="Arial" w:hAnsi="Arial"/>
                <w:sz w:val="15"/>
                <w:szCs w:val="15"/>
                <w:color w:val="auto"/>
              </w:rPr>
              <w:t>8-K</w:t>
            </w:r>
          </w:p>
        </w:tc>
        <w:tc>
          <w:tcPr>
            <w:tcW w:w="1340" w:type="dxa"/>
            <w:vAlign w:val="bottom"/>
          </w:tcPr>
          <w:p>
            <w:pPr>
              <w:jc w:val="center"/>
              <w:spacing w:after="0" w:line="170" w:lineRule="exact"/>
              <w:rPr>
                <w:sz w:val="20"/>
                <w:szCs w:val="20"/>
                <w:color w:val="auto"/>
              </w:rPr>
            </w:pPr>
            <w:r>
              <w:rPr>
                <w:rFonts w:ascii="Arial" w:cs="Arial" w:eastAsia="Arial" w:hAnsi="Arial"/>
                <w:sz w:val="15"/>
                <w:szCs w:val="15"/>
                <w:color w:val="auto"/>
              </w:rPr>
              <w:t>001-42706</w:t>
            </w:r>
          </w:p>
        </w:tc>
        <w:tc>
          <w:tcPr>
            <w:tcW w:w="80" w:type="dxa"/>
            <w:vAlign w:val="bottom"/>
          </w:tcPr>
          <w:p>
            <w:pPr>
              <w:spacing w:after="0"/>
              <w:rPr>
                <w:sz w:val="14"/>
                <w:szCs w:val="14"/>
                <w:color w:val="auto"/>
              </w:rPr>
            </w:pPr>
          </w:p>
        </w:tc>
        <w:tc>
          <w:tcPr>
            <w:tcW w:w="1080" w:type="dxa"/>
            <w:vAlign w:val="bottom"/>
          </w:tcPr>
          <w:p>
            <w:pPr>
              <w:jc w:val="center"/>
              <w:spacing w:after="0" w:line="170" w:lineRule="exact"/>
              <w:rPr>
                <w:sz w:val="20"/>
                <w:szCs w:val="20"/>
                <w:color w:val="auto"/>
              </w:rPr>
            </w:pPr>
            <w:r>
              <w:rPr>
                <w:rFonts w:ascii="Arial" w:cs="Arial" w:eastAsia="Arial" w:hAnsi="Arial"/>
                <w:sz w:val="15"/>
                <w:szCs w:val="15"/>
                <w:color w:val="auto"/>
                <w:w w:val="95"/>
              </w:rPr>
              <w:t>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40"/>
              <w:spacing w:after="0" w:line="170" w:lineRule="exact"/>
              <w:rPr>
                <w:sz w:val="20"/>
                <w:szCs w:val="20"/>
                <w:color w:val="auto"/>
              </w:rPr>
            </w:pPr>
            <w:r>
              <w:rPr>
                <w:rFonts w:ascii="Arial" w:cs="Arial" w:eastAsia="Arial" w:hAnsi="Arial"/>
                <w:sz w:val="15"/>
                <w:szCs w:val="15"/>
                <w:color w:val="auto"/>
              </w:rPr>
              <w:t>June 20, 2025</w:t>
            </w: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0000FF"/>
            </w:tcBorders>
            <w:gridSpan w:val="6"/>
          </w:tcPr>
          <w:p>
            <w:pPr>
              <w:spacing w:after="0" w:line="164" w:lineRule="exact"/>
              <w:rPr>
                <w:rFonts w:ascii="Arial" w:cs="Arial" w:eastAsia="Arial" w:hAnsi="Arial"/>
                <w:sz w:val="15"/>
                <w:szCs w:val="15"/>
                <w:color w:val="0000FF"/>
              </w:rPr>
            </w:pPr>
            <w:hyperlink r:id="rId57">
              <w:r>
                <w:rPr>
                  <w:rFonts w:ascii="Arial" w:cs="Arial" w:eastAsia="Arial" w:hAnsi="Arial"/>
                  <w:sz w:val="15"/>
                  <w:szCs w:val="15"/>
                  <w:color w:val="0000FF"/>
                </w:rPr>
                <w:t>of Caris Life Sciences, Inc.</w:t>
              </w:r>
            </w:hyperlink>
          </w:p>
        </w:tc>
        <w:tc>
          <w:tcPr>
            <w:tcW w:w="1540" w:type="dxa"/>
            <w:vAlign w:val="bottom"/>
            <w:gridSpan w:val="1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0"/>
        </w:trPr>
        <w:tc>
          <w:tcPr>
            <w:tcW w:w="1100" w:type="dxa"/>
            <w:vAlign w:val="bottom"/>
          </w:tcPr>
          <w:p>
            <w:pPr>
              <w:jc w:val="center"/>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tcBorders>
              <w:bottom w:val="single" w:sz="8" w:color="0000FF"/>
            </w:tcBorders>
            <w:gridSpan w:val="11"/>
          </w:tcPr>
          <w:p>
            <w:pPr>
              <w:spacing w:after="0"/>
              <w:rPr>
                <w:rFonts w:ascii="Arial" w:cs="Arial" w:eastAsia="Arial" w:hAnsi="Arial"/>
                <w:sz w:val="15"/>
                <w:szCs w:val="15"/>
                <w:color w:val="0000FF"/>
              </w:rPr>
            </w:pPr>
            <w:hyperlink r:id="rId58">
              <w:r>
                <w:rPr>
                  <w:rFonts w:ascii="Arial" w:cs="Arial" w:eastAsia="Arial" w:hAnsi="Arial"/>
                  <w:sz w:val="15"/>
                  <w:szCs w:val="15"/>
                  <w:color w:val="0000FF"/>
                </w:rPr>
                <w:t>Amended and Restated Bylaws of Caris Life</w:t>
              </w:r>
            </w:hyperlink>
          </w:p>
        </w:tc>
        <w:tc>
          <w:tcPr>
            <w:tcW w:w="360" w:type="dxa"/>
            <w:vAlign w:val="bottom"/>
            <w:gridSpan w:val="7"/>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5"/>
                <w:szCs w:val="15"/>
                <w:color w:val="auto"/>
              </w:rPr>
              <w:t>8-K</w:t>
            </w:r>
          </w:p>
        </w:tc>
        <w:tc>
          <w:tcPr>
            <w:tcW w:w="1340" w:type="dxa"/>
            <w:vAlign w:val="bottom"/>
          </w:tcPr>
          <w:p>
            <w:pPr>
              <w:jc w:val="center"/>
              <w:spacing w:after="0"/>
              <w:rPr>
                <w:sz w:val="20"/>
                <w:szCs w:val="20"/>
                <w:color w:val="auto"/>
              </w:rPr>
            </w:pPr>
            <w:r>
              <w:rPr>
                <w:rFonts w:ascii="Arial" w:cs="Arial" w:eastAsia="Arial" w:hAnsi="Arial"/>
                <w:sz w:val="15"/>
                <w:szCs w:val="15"/>
                <w:color w:val="auto"/>
              </w:rPr>
              <w:t>001-42706</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5"/>
                <w:szCs w:val="15"/>
                <w:color w:val="auto"/>
              </w:rPr>
              <w:t>October 30, 2025</w:t>
            </w:r>
          </w:p>
        </w:tc>
        <w:tc>
          <w:tcPr>
            <w:tcW w:w="1420" w:type="dxa"/>
            <w:vAlign w:val="bottom"/>
          </w:tcPr>
          <w:p>
            <w:pPr>
              <w:spacing w:after="0"/>
              <w:rPr>
                <w:sz w:val="18"/>
                <w:szCs w:val="18"/>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0000FF"/>
            </w:tcBorders>
            <w:gridSpan w:val="4"/>
          </w:tcPr>
          <w:p>
            <w:pPr>
              <w:spacing w:after="0" w:line="164" w:lineRule="exact"/>
              <w:rPr>
                <w:rFonts w:ascii="Arial" w:cs="Arial" w:eastAsia="Arial" w:hAnsi="Arial"/>
                <w:sz w:val="15"/>
                <w:szCs w:val="15"/>
                <w:color w:val="0000FF"/>
              </w:rPr>
            </w:pPr>
            <w:hyperlink r:id="rId58">
              <w:r>
                <w:rPr>
                  <w:rFonts w:ascii="Arial" w:cs="Arial" w:eastAsia="Arial" w:hAnsi="Arial"/>
                  <w:sz w:val="15"/>
                  <w:szCs w:val="15"/>
                  <w:color w:val="0000FF"/>
                </w:rPr>
                <w:t>Sciences, Inc.</w:t>
              </w:r>
            </w:hyperlink>
          </w:p>
        </w:tc>
        <w:tc>
          <w:tcPr>
            <w:tcW w:w="2400" w:type="dxa"/>
            <w:vAlign w:val="bottom"/>
            <w:gridSpan w:val="14"/>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0"/>
        </w:trPr>
        <w:tc>
          <w:tcPr>
            <w:tcW w:w="1100" w:type="dxa"/>
            <w:vAlign w:val="bottom"/>
          </w:tcPr>
          <w:p>
            <w:pPr>
              <w:jc w:val="center"/>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tcBorders>
              <w:bottom w:val="single" w:sz="8" w:color="0000FF"/>
            </w:tcBorders>
            <w:gridSpan w:val="16"/>
          </w:tcPr>
          <w:p>
            <w:pPr>
              <w:spacing w:after="0"/>
              <w:rPr>
                <w:sz w:val="20"/>
                <w:szCs w:val="20"/>
                <w:color w:val="auto"/>
              </w:rPr>
            </w:pPr>
            <w:r>
              <w:rPr>
                <w:rFonts w:ascii="Arial" w:cs="Arial" w:eastAsia="Arial" w:hAnsi="Arial"/>
                <w:sz w:val="15"/>
                <w:szCs w:val="15"/>
                <w:color w:val="0000FF"/>
              </w:rPr>
              <w:t>Financing Agreement, dated as of April 1, 2026,</w:t>
            </w:r>
          </w:p>
        </w:tc>
        <w:tc>
          <w:tcPr>
            <w:tcW w:w="1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bottom w:val="single" w:sz="8" w:color="0000FF"/>
            </w:tcBorders>
            <w:gridSpan w:val="7"/>
          </w:tcPr>
          <w:p>
            <w:pPr>
              <w:spacing w:after="0" w:line="164" w:lineRule="exact"/>
              <w:rPr>
                <w:sz w:val="20"/>
                <w:szCs w:val="20"/>
                <w:color w:val="auto"/>
              </w:rPr>
            </w:pPr>
            <w:r>
              <w:rPr>
                <w:rFonts w:ascii="Arial" w:cs="Arial" w:eastAsia="Arial" w:hAnsi="Arial"/>
                <w:sz w:val="15"/>
                <w:szCs w:val="15"/>
                <w:color w:val="0000FF"/>
              </w:rPr>
              <w:t>by and among the Company, certain</w:t>
            </w:r>
          </w:p>
        </w:tc>
        <w:tc>
          <w:tcPr>
            <w:tcW w:w="900" w:type="dxa"/>
            <w:vAlign w:val="bottom"/>
            <w:gridSpan w:val="11"/>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bottom w:val="single" w:sz="8" w:color="0000FF"/>
            </w:tcBorders>
            <w:gridSpan w:val="14"/>
          </w:tcPr>
          <w:p>
            <w:pPr>
              <w:spacing w:after="0" w:line="164" w:lineRule="exact"/>
              <w:rPr>
                <w:sz w:val="20"/>
                <w:szCs w:val="20"/>
                <w:color w:val="auto"/>
              </w:rPr>
            </w:pPr>
            <w:r>
              <w:rPr>
                <w:rFonts w:ascii="Arial" w:cs="Arial" w:eastAsia="Arial" w:hAnsi="Arial"/>
                <w:sz w:val="15"/>
                <w:szCs w:val="15"/>
                <w:color w:val="0000FF"/>
              </w:rPr>
              <w:t>subsidiaries of the Company as guarantors, the</w:t>
            </w:r>
          </w:p>
        </w:tc>
        <w:tc>
          <w:tcPr>
            <w:tcW w:w="1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bottom w:val="single" w:sz="8" w:color="0000FF"/>
            </w:tcBorders>
            <w:gridSpan w:val="9"/>
          </w:tcPr>
          <w:p>
            <w:pPr>
              <w:spacing w:after="0" w:line="164" w:lineRule="exact"/>
              <w:rPr>
                <w:sz w:val="20"/>
                <w:szCs w:val="20"/>
                <w:color w:val="auto"/>
              </w:rPr>
            </w:pPr>
            <w:r>
              <w:rPr>
                <w:rFonts w:ascii="Arial" w:cs="Arial" w:eastAsia="Arial" w:hAnsi="Arial"/>
                <w:sz w:val="15"/>
                <w:szCs w:val="15"/>
                <w:color w:val="0000FF"/>
              </w:rPr>
              <w:t>lenders party thereto, and Blue Owl Capital</w:t>
            </w:r>
          </w:p>
        </w:tc>
        <w:tc>
          <w:tcPr>
            <w:tcW w:w="44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gridSpan w:val="18"/>
          </w:tcPr>
          <w:p>
            <w:pPr>
              <w:spacing w:after="0" w:line="164" w:lineRule="exact"/>
              <w:rPr>
                <w:sz w:val="20"/>
                <w:szCs w:val="20"/>
                <w:color w:val="auto"/>
              </w:rPr>
            </w:pPr>
            <w:r>
              <w:rPr>
                <w:rFonts w:ascii="Arial" w:cs="Arial" w:eastAsia="Arial" w:hAnsi="Arial"/>
                <w:sz w:val="15"/>
                <w:szCs w:val="15"/>
                <w:color w:val="0000FF"/>
              </w:rPr>
              <w:t>Corporation, as administrative agent.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rPr>
              <w:t>10.2†</w:t>
            </w: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0000FF"/>
              </w:rPr>
              <w:t>Caris Life Sciences, Inc. Annual Incentive Plan</w:t>
            </w:r>
            <w:r>
              <w:rPr>
                <w:rFonts w:ascii="Arial" w:cs="Arial" w:eastAsia="Arial" w:hAnsi="Arial"/>
                <w:sz w:val="15"/>
                <w:szCs w:val="15"/>
                <w:color w:val="000000"/>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rPr>
              <w:t>10.3†</w:t>
            </w:r>
          </w:p>
        </w:tc>
        <w:tc>
          <w:tcPr>
            <w:tcW w:w="20" w:type="dxa"/>
            <w:vAlign w:val="bottom"/>
          </w:tcPr>
          <w:p>
            <w:pPr>
              <w:spacing w:after="0"/>
              <w:rPr>
                <w:sz w:val="18"/>
                <w:szCs w:val="18"/>
                <w:color w:val="auto"/>
              </w:rPr>
            </w:pPr>
          </w:p>
        </w:tc>
        <w:tc>
          <w:tcPr>
            <w:tcW w:w="3200" w:type="dxa"/>
            <w:vAlign w:val="bottom"/>
            <w:tcBorders>
              <w:bottom w:val="single" w:sz="8" w:color="0000FF"/>
            </w:tcBorders>
            <w:gridSpan w:val="13"/>
          </w:tcPr>
          <w:p>
            <w:pPr>
              <w:spacing w:after="0"/>
              <w:rPr>
                <w:sz w:val="20"/>
                <w:szCs w:val="20"/>
                <w:color w:val="auto"/>
              </w:rPr>
            </w:pPr>
            <w:r>
              <w:rPr>
                <w:rFonts w:ascii="Arial" w:cs="Arial" w:eastAsia="Arial" w:hAnsi="Arial"/>
                <w:sz w:val="15"/>
                <w:szCs w:val="15"/>
                <w:color w:val="0000FF"/>
              </w:rPr>
              <w:t>Executive Employment Agreement, dated as of</w:t>
            </w:r>
          </w:p>
        </w:tc>
        <w:tc>
          <w:tcPr>
            <w:tcW w:w="16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40" w:type="dxa"/>
            <w:vAlign w:val="bottom"/>
            <w:tcBorders>
              <w:bottom w:val="single" w:sz="8" w:color="0000FF"/>
            </w:tcBorders>
            <w:gridSpan w:val="15"/>
          </w:tcPr>
          <w:p>
            <w:pPr>
              <w:spacing w:after="0" w:line="164" w:lineRule="exact"/>
              <w:rPr>
                <w:sz w:val="20"/>
                <w:szCs w:val="20"/>
                <w:color w:val="auto"/>
              </w:rPr>
            </w:pPr>
            <w:r>
              <w:rPr>
                <w:rFonts w:ascii="Arial" w:cs="Arial" w:eastAsia="Arial" w:hAnsi="Arial"/>
                <w:sz w:val="15"/>
                <w:szCs w:val="15"/>
                <w:color w:val="0000FF"/>
              </w:rPr>
              <w:t>August 2, 2022, by and between Caris Science,</w:t>
            </w:r>
          </w:p>
        </w:tc>
        <w:tc>
          <w:tcPr>
            <w:tcW w:w="12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0000FF"/>
            </w:tcBorders>
            <w:gridSpan w:val="5"/>
          </w:tcPr>
          <w:p>
            <w:pPr>
              <w:spacing w:after="0" w:line="164" w:lineRule="exact"/>
              <w:rPr>
                <w:sz w:val="20"/>
                <w:szCs w:val="20"/>
                <w:color w:val="auto"/>
              </w:rPr>
            </w:pPr>
            <w:r>
              <w:rPr>
                <w:rFonts w:ascii="Arial" w:cs="Arial" w:eastAsia="Arial" w:hAnsi="Arial"/>
                <w:sz w:val="15"/>
                <w:szCs w:val="15"/>
                <w:color w:val="0000FF"/>
              </w:rPr>
              <w:t>Inc. J. Russel Denton.</w:t>
            </w:r>
          </w:p>
        </w:tc>
        <w:tc>
          <w:tcPr>
            <w:tcW w:w="1860" w:type="dxa"/>
            <w:vAlign w:val="bottom"/>
            <w:gridSpan w:val="13"/>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0"/>
        </w:trPr>
        <w:tc>
          <w:tcPr>
            <w:tcW w:w="1100" w:type="dxa"/>
            <w:vAlign w:val="bottom"/>
          </w:tcPr>
          <w:p>
            <w:pPr>
              <w:jc w:val="center"/>
              <w:spacing w:after="0"/>
              <w:rPr>
                <w:sz w:val="20"/>
                <w:szCs w:val="20"/>
                <w:color w:val="auto"/>
              </w:rPr>
            </w:pPr>
            <w:r>
              <w:rPr>
                <w:rFonts w:ascii="Arial" w:cs="Arial" w:eastAsia="Arial" w:hAnsi="Arial"/>
                <w:sz w:val="15"/>
                <w:szCs w:val="15"/>
                <w:color w:val="auto"/>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Borders>
              <w:bottom w:val="single" w:sz="8" w:color="0000FF"/>
            </w:tcBorders>
            <w:gridSpan w:val="14"/>
          </w:tcPr>
          <w:p>
            <w:pPr>
              <w:spacing w:after="0"/>
              <w:rPr>
                <w:sz w:val="20"/>
                <w:szCs w:val="20"/>
                <w:color w:val="auto"/>
              </w:rPr>
            </w:pPr>
            <w:r>
              <w:rPr>
                <w:rFonts w:ascii="Arial" w:cs="Arial" w:eastAsia="Arial" w:hAnsi="Arial"/>
                <w:sz w:val="15"/>
                <w:szCs w:val="15"/>
                <w:color w:val="0000FF"/>
              </w:rPr>
              <w:t>Certification of Chief Executive Officer pursuant</w:t>
            </w:r>
          </w:p>
        </w:tc>
        <w:tc>
          <w:tcPr>
            <w:tcW w:w="140" w:type="dxa"/>
            <w:vAlign w:val="bottom"/>
            <w:gridSpan w:val="4"/>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bottom w:val="single" w:sz="8" w:color="0000FF"/>
            </w:tcBorders>
            <w:gridSpan w:val="10"/>
          </w:tcPr>
          <w:p>
            <w:pPr>
              <w:spacing w:after="0" w:line="164" w:lineRule="exact"/>
              <w:rPr>
                <w:sz w:val="20"/>
                <w:szCs w:val="20"/>
                <w:color w:val="auto"/>
              </w:rPr>
            </w:pPr>
            <w:r>
              <w:rPr>
                <w:rFonts w:ascii="Arial" w:cs="Arial" w:eastAsia="Arial" w:hAnsi="Arial"/>
                <w:sz w:val="15"/>
                <w:szCs w:val="15"/>
                <w:color w:val="0000FF"/>
              </w:rPr>
              <w:t>to Section 302 of the Sarbanes-Oxley Act of</w:t>
            </w:r>
          </w:p>
        </w:tc>
        <w:tc>
          <w:tcPr>
            <w:tcW w:w="380" w:type="dxa"/>
            <w:vAlign w:val="bottom"/>
            <w:gridSpan w:val="8"/>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0000FF"/>
            </w:tcBorders>
            <w:gridSpan w:val="3"/>
          </w:tcPr>
          <w:p>
            <w:pPr>
              <w:spacing w:after="0" w:line="164" w:lineRule="exact"/>
              <w:rPr>
                <w:sz w:val="20"/>
                <w:szCs w:val="20"/>
                <w:color w:val="auto"/>
              </w:rPr>
            </w:pPr>
            <w:r>
              <w:rPr>
                <w:rFonts w:ascii="Arial" w:cs="Arial" w:eastAsia="Arial" w:hAnsi="Arial"/>
                <w:sz w:val="15"/>
                <w:szCs w:val="15"/>
                <w:color w:val="0000FF"/>
              </w:rPr>
              <w:t>2002.</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0"/>
        </w:trPr>
        <w:tc>
          <w:tcPr>
            <w:tcW w:w="1100" w:type="dxa"/>
            <w:vAlign w:val="bottom"/>
          </w:tcPr>
          <w:p>
            <w:pPr>
              <w:jc w:val="center"/>
              <w:spacing w:after="0"/>
              <w:rPr>
                <w:sz w:val="20"/>
                <w:szCs w:val="20"/>
                <w:color w:val="auto"/>
              </w:rPr>
            </w:pPr>
            <w:r>
              <w:rPr>
                <w:rFonts w:ascii="Arial" w:cs="Arial" w:eastAsia="Arial" w:hAnsi="Arial"/>
                <w:sz w:val="15"/>
                <w:szCs w:val="15"/>
                <w:color w:val="auto"/>
              </w:rPr>
              <w:t>31.2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0000FF"/>
              </w:rPr>
              <w:t>Certification of Chief Financial Officer pursuant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top w:val="single" w:sz="8" w:color="0000FF"/>
              <w:bottom w:val="single" w:sz="8" w:color="0000FF"/>
            </w:tcBorders>
            <w:gridSpan w:val="10"/>
          </w:tcPr>
          <w:p>
            <w:pPr>
              <w:spacing w:after="0" w:line="164" w:lineRule="exact"/>
              <w:rPr>
                <w:sz w:val="20"/>
                <w:szCs w:val="20"/>
                <w:color w:val="auto"/>
              </w:rPr>
            </w:pPr>
            <w:r>
              <w:rPr>
                <w:rFonts w:ascii="Arial" w:cs="Arial" w:eastAsia="Arial" w:hAnsi="Arial"/>
                <w:sz w:val="15"/>
                <w:szCs w:val="15"/>
                <w:color w:val="0000FF"/>
              </w:rPr>
              <w:t>to Section 302 of the Sarbanes-Oxley Act of</w:t>
            </w:r>
          </w:p>
        </w:tc>
        <w:tc>
          <w:tcPr>
            <w:tcW w:w="200" w:type="dxa"/>
            <w:vAlign w:val="bottom"/>
            <w:tcBorders>
              <w:top w:val="single" w:sz="8" w:color="0000FF"/>
            </w:tcBorders>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0000FF"/>
            </w:tcBorders>
            <w:gridSpan w:val="3"/>
          </w:tcPr>
          <w:p>
            <w:pPr>
              <w:spacing w:after="0" w:line="164" w:lineRule="exact"/>
              <w:rPr>
                <w:sz w:val="20"/>
                <w:szCs w:val="20"/>
                <w:color w:val="auto"/>
              </w:rPr>
            </w:pPr>
            <w:r>
              <w:rPr>
                <w:rFonts w:ascii="Arial" w:cs="Arial" w:eastAsia="Arial" w:hAnsi="Arial"/>
                <w:sz w:val="15"/>
                <w:szCs w:val="15"/>
                <w:color w:val="0000FF"/>
              </w:rPr>
              <w:t>2002.</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0"/>
        </w:trPr>
        <w:tc>
          <w:tcPr>
            <w:tcW w:w="1100" w:type="dxa"/>
            <w:vAlign w:val="bottom"/>
          </w:tcPr>
          <w:p>
            <w:pPr>
              <w:jc w:val="center"/>
              <w:spacing w:after="0"/>
              <w:rPr>
                <w:sz w:val="20"/>
                <w:szCs w:val="20"/>
                <w:color w:val="auto"/>
              </w:rPr>
            </w:pPr>
            <w:r>
              <w:rPr>
                <w:rFonts w:ascii="Arial" w:cs="Arial" w:eastAsia="Arial" w:hAnsi="Arial"/>
                <w:sz w:val="15"/>
                <w:szCs w:val="15"/>
                <w:color w:val="auto"/>
                <w:w w:val="96"/>
              </w:rPr>
              <w:t>32.1*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Borders>
              <w:bottom w:val="single" w:sz="8" w:color="0000FF"/>
            </w:tcBorders>
            <w:gridSpan w:val="14"/>
          </w:tcPr>
          <w:p>
            <w:pPr>
              <w:spacing w:after="0"/>
              <w:rPr>
                <w:sz w:val="20"/>
                <w:szCs w:val="20"/>
                <w:color w:val="auto"/>
              </w:rPr>
            </w:pPr>
            <w:r>
              <w:rPr>
                <w:rFonts w:ascii="Arial" w:cs="Arial" w:eastAsia="Arial" w:hAnsi="Arial"/>
                <w:sz w:val="15"/>
                <w:szCs w:val="15"/>
                <w:color w:val="0000FF"/>
              </w:rPr>
              <w:t>Certification of Chief Executive Officer pursuant</w:t>
            </w:r>
          </w:p>
        </w:tc>
        <w:tc>
          <w:tcPr>
            <w:tcW w:w="140" w:type="dxa"/>
            <w:vAlign w:val="bottom"/>
            <w:gridSpan w:val="4"/>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bottom w:val="single" w:sz="8" w:color="0000FF"/>
            </w:tcBorders>
            <w:gridSpan w:val="10"/>
          </w:tcPr>
          <w:p>
            <w:pPr>
              <w:spacing w:after="0" w:line="164" w:lineRule="exact"/>
              <w:rPr>
                <w:sz w:val="20"/>
                <w:szCs w:val="20"/>
                <w:color w:val="auto"/>
              </w:rPr>
            </w:pPr>
            <w:r>
              <w:rPr>
                <w:rFonts w:ascii="Arial" w:cs="Arial" w:eastAsia="Arial" w:hAnsi="Arial"/>
                <w:sz w:val="15"/>
                <w:szCs w:val="15"/>
                <w:color w:val="0000FF"/>
              </w:rPr>
              <w:t>to Section 906 of the Sarbanes-Oxley Act of</w:t>
            </w:r>
          </w:p>
        </w:tc>
        <w:tc>
          <w:tcPr>
            <w:tcW w:w="380" w:type="dxa"/>
            <w:vAlign w:val="bottom"/>
            <w:gridSpan w:val="8"/>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0000FF"/>
            </w:tcBorders>
            <w:gridSpan w:val="3"/>
          </w:tcPr>
          <w:p>
            <w:pPr>
              <w:spacing w:after="0" w:line="164" w:lineRule="exact"/>
              <w:rPr>
                <w:sz w:val="20"/>
                <w:szCs w:val="20"/>
                <w:color w:val="auto"/>
              </w:rPr>
            </w:pPr>
            <w:r>
              <w:rPr>
                <w:rFonts w:ascii="Arial" w:cs="Arial" w:eastAsia="Arial" w:hAnsi="Arial"/>
                <w:sz w:val="15"/>
                <w:szCs w:val="15"/>
                <w:color w:val="0000FF"/>
              </w:rPr>
              <w:t>2002.</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0"/>
        </w:trPr>
        <w:tc>
          <w:tcPr>
            <w:tcW w:w="1100" w:type="dxa"/>
            <w:vAlign w:val="bottom"/>
          </w:tcPr>
          <w:p>
            <w:pPr>
              <w:jc w:val="center"/>
              <w:spacing w:after="0"/>
              <w:rPr>
                <w:sz w:val="20"/>
                <w:szCs w:val="20"/>
                <w:color w:val="auto"/>
              </w:rPr>
            </w:pPr>
            <w:r>
              <w:rPr>
                <w:rFonts w:ascii="Arial" w:cs="Arial" w:eastAsia="Arial" w:hAnsi="Arial"/>
                <w:sz w:val="15"/>
                <w:szCs w:val="15"/>
                <w:color w:val="auto"/>
                <w:w w:val="96"/>
              </w:rPr>
              <w:t>32.2*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0000FF"/>
              </w:rPr>
              <w:t>Certification of Chief Financial Officer pursuant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top w:val="single" w:sz="8" w:color="0000FF"/>
              <w:bottom w:val="single" w:sz="8" w:color="0000FF"/>
            </w:tcBorders>
            <w:gridSpan w:val="10"/>
          </w:tcPr>
          <w:p>
            <w:pPr>
              <w:spacing w:after="0" w:line="164" w:lineRule="exact"/>
              <w:rPr>
                <w:sz w:val="20"/>
                <w:szCs w:val="20"/>
                <w:color w:val="auto"/>
              </w:rPr>
            </w:pPr>
            <w:r>
              <w:rPr>
                <w:rFonts w:ascii="Arial" w:cs="Arial" w:eastAsia="Arial" w:hAnsi="Arial"/>
                <w:sz w:val="15"/>
                <w:szCs w:val="15"/>
                <w:color w:val="0000FF"/>
              </w:rPr>
              <w:t>to Section 906 of the Sarbanes-Oxley Act of</w:t>
            </w:r>
          </w:p>
        </w:tc>
        <w:tc>
          <w:tcPr>
            <w:tcW w:w="200" w:type="dxa"/>
            <w:vAlign w:val="bottom"/>
            <w:tcBorders>
              <w:top w:val="single" w:sz="8" w:color="0000FF"/>
            </w:tcBorders>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0000FF"/>
            </w:tcBorders>
            <w:gridSpan w:val="2"/>
          </w:tcPr>
          <w:p>
            <w:pPr>
              <w:spacing w:after="0" w:line="164" w:lineRule="exact"/>
              <w:rPr>
                <w:sz w:val="20"/>
                <w:szCs w:val="20"/>
                <w:color w:val="auto"/>
              </w:rPr>
            </w:pPr>
            <w:r>
              <w:rPr>
                <w:rFonts w:ascii="Arial" w:cs="Arial" w:eastAsia="Arial" w:hAnsi="Arial"/>
                <w:sz w:val="15"/>
                <w:szCs w:val="15"/>
                <w:color w:val="0000FF"/>
                <w:w w:val="95"/>
              </w:rPr>
              <w:t>2002.</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9"/>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w w:val="99"/>
              </w:rPr>
              <w:t>101.INS</w:t>
            </w:r>
          </w:p>
        </w:tc>
        <w:tc>
          <w:tcPr>
            <w:tcW w:w="20" w:type="dxa"/>
            <w:vAlign w:val="bottom"/>
          </w:tcPr>
          <w:p>
            <w:pPr>
              <w:spacing w:after="0"/>
              <w:rPr>
                <w:sz w:val="19"/>
                <w:szCs w:val="19"/>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Inline XBRL Instance Document (the instance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184"/>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document does not appear in the Interactive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4"/>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Data File because its XBRL tags are embedded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within the Inline XBRL document).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rPr>
              <w:t>101.SCH</w:t>
            </w: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Inline XBRL Taxonomy Extension Schema</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Document.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w w:val="99"/>
              </w:rPr>
              <w:t>101.CAL</w:t>
            </w: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Inline XBRL Taxonomy Extension Calculation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Linkbase Document.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rPr>
              <w:t>101.DEF</w:t>
            </w: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Inline XBRL Taxonomy Extension Definition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Linkbase Document.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rPr>
              <w:t>101.LAB</w:t>
            </w: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Inline XBRL Taxonomy Extension Label</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Linkbase Document.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5"/>
                <w:szCs w:val="15"/>
                <w:color w:val="auto"/>
              </w:rPr>
              <w:t>101.PRE</w:t>
            </w: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Inline XBRL Taxonomy Extension Presentation</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Linkbase Document.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1100" w:type="dxa"/>
            <w:vAlign w:val="bottom"/>
          </w:tcPr>
          <w:p>
            <w:pPr>
              <w:jc w:val="center"/>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Cover Page formatted as Inline XBRL and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99"/>
              </w:rPr>
              <w:t>X</w:t>
            </w:r>
          </w:p>
        </w:tc>
      </w:tr>
      <w:tr>
        <w:trPr>
          <w:trHeight w:val="201"/>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18"/>
          </w:tcPr>
          <w:p>
            <w:pPr>
              <w:spacing w:after="0"/>
              <w:rPr>
                <w:sz w:val="20"/>
                <w:szCs w:val="20"/>
                <w:color w:val="auto"/>
              </w:rPr>
            </w:pPr>
            <w:r>
              <w:rPr>
                <w:rFonts w:ascii="Arial" w:cs="Arial" w:eastAsia="Arial" w:hAnsi="Arial"/>
                <w:sz w:val="15"/>
                <w:szCs w:val="15"/>
                <w:color w:val="auto"/>
              </w:rPr>
              <w:t>contained in Exhibit 101.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953"/>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1063"/>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6"/>
        </w:trPr>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238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3" w:name="page44"/>
    <w:bookmarkEnd w:id="43"/>
    <w:p>
      <w:pPr>
        <w:ind w:left="8"/>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Arial" w:cs="Arial" w:eastAsia="Arial" w:hAnsi="Arial"/>
          <w:sz w:val="15"/>
          <w:szCs w:val="15"/>
          <w:color w:val="auto"/>
        </w:rPr>
        <w:t>_________________________</w:t>
      </w:r>
    </w:p>
    <w:p>
      <w:pPr>
        <w:spacing w:after="0" w:line="25" w:lineRule="exact"/>
        <w:rPr>
          <w:sz w:val="20"/>
          <w:szCs w:val="20"/>
          <w:color w:val="auto"/>
        </w:rPr>
      </w:pPr>
    </w:p>
    <w:p>
      <w:pPr>
        <w:ind w:left="248" w:hanging="248"/>
        <w:spacing w:after="0"/>
        <w:tabs>
          <w:tab w:leader="none" w:pos="2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 has omitted schedules and exhibits pursuant to Item 601(a)(5) of Regulation S-K. The registrant agrees to provide further information regarding</w:t>
      </w:r>
    </w:p>
    <w:p>
      <w:pPr>
        <w:spacing w:after="0" w:line="1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such omitted materials to the SEC upon request.</w:t>
      </w:r>
    </w:p>
    <w:p>
      <w:pPr>
        <w:spacing w:after="0" w:line="11" w:lineRule="exact"/>
        <w:rPr>
          <w:sz w:val="20"/>
          <w:szCs w:val="20"/>
          <w:color w:val="auto"/>
        </w:rPr>
      </w:pPr>
    </w:p>
    <w:p>
      <w:pPr>
        <w:ind w:left="548" w:right="120" w:hanging="548"/>
        <w:spacing w:after="0" w:line="255" w:lineRule="auto"/>
        <w:tabs>
          <w:tab w:leader="none" w:pos="252" w:val="left"/>
        </w:tabs>
        <w:numPr>
          <w:ilvl w:val="0"/>
          <w:numId w:val="18"/>
        </w:numPr>
        <w:rPr>
          <w:rFonts w:ascii="Arial" w:cs="Arial" w:eastAsia="Arial" w:hAnsi="Arial"/>
          <w:sz w:val="15"/>
          <w:szCs w:val="15"/>
          <w:color w:val="auto"/>
        </w:rPr>
      </w:pPr>
      <w:r>
        <w:rPr>
          <w:rFonts w:ascii="Arial" w:cs="Arial" w:eastAsia="Arial" w:hAnsi="Arial"/>
          <w:sz w:val="15"/>
          <w:szCs w:val="15"/>
          <w:color w:val="auto"/>
        </w:rPr>
        <w:t>Certain portions of this exhibit (indicated by “[***]”) have been redacted pursuant to Regulation S-K, Item 601(b)(10), because such information (i) is not material and (ii) is of the type that the registrant treats as private or confidential.</w:t>
      </w:r>
    </w:p>
    <w:p>
      <w:pPr>
        <w:spacing w:after="0" w:line="1" w:lineRule="exact"/>
        <w:rPr>
          <w:sz w:val="20"/>
          <w:szCs w:val="20"/>
          <w:color w:val="auto"/>
        </w:rPr>
      </w:pPr>
    </w:p>
    <w:p>
      <w:pPr>
        <w:ind w:left="248" w:hanging="248"/>
        <w:spacing w:after="0"/>
        <w:tabs>
          <w:tab w:leader="none" w:pos="2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Indicates a management contract or compensatory plan or arrangement.</w:t>
      </w:r>
    </w:p>
    <w:p>
      <w:pPr>
        <w:spacing w:after="0" w:line="11" w:lineRule="exact"/>
        <w:rPr>
          <w:sz w:val="20"/>
          <w:szCs w:val="20"/>
          <w:color w:val="auto"/>
        </w:rPr>
      </w:pPr>
    </w:p>
    <w:p>
      <w:pPr>
        <w:ind w:left="548" w:hanging="548"/>
        <w:spacing w:after="0" w:line="265"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76835</wp:posOffset>
            </wp:positionV>
            <wp:extent cx="717804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88"/>
          </w:cols>
          <w:pgMar w:left="312" w:top="124" w:right="39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Signatures</w:t>
      </w:r>
    </w:p>
    <w:p>
      <w:pPr>
        <w:spacing w:after="0" w:line="163"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CARIS LIFE SCIENCES, INC.</w:t>
      </w:r>
    </w:p>
    <w:p>
      <w:pPr>
        <w:spacing w:after="0" w:line="59" w:lineRule="exact"/>
        <w:rPr>
          <w:sz w:val="20"/>
          <w:szCs w:val="20"/>
          <w:color w:val="auto"/>
        </w:rPr>
      </w:pPr>
    </w:p>
    <w:p>
      <w:pPr>
        <w:spacing w:after="0"/>
        <w:tabs>
          <w:tab w:leader="none" w:pos="5720" w:val="left"/>
          <w:tab w:leader="none" w:pos="6220" w:val="left"/>
        </w:tabs>
        <w:rPr>
          <w:sz w:val="20"/>
          <w:szCs w:val="20"/>
          <w:color w:val="auto"/>
        </w:rPr>
      </w:pPr>
      <w:r>
        <w:rPr>
          <w:rFonts w:ascii="Arial" w:cs="Arial" w:eastAsia="Arial" w:hAnsi="Arial"/>
          <w:sz w:val="15"/>
          <w:szCs w:val="15"/>
          <w:color w:val="auto"/>
        </w:rPr>
        <w:t>Date: May 08, 2026</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David Dean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31115</wp:posOffset>
            </wp:positionV>
            <wp:extent cx="280733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807335" cy="6985"/>
                    </a:xfrm>
                    <a:prstGeom prst="rect">
                      <a:avLst/>
                    </a:prstGeom>
                    <a:noFill/>
                  </pic:spPr>
                </pic:pic>
              </a:graphicData>
            </a:graphic>
          </wp:anchor>
        </w:drawing>
      </w:r>
    </w:p>
    <w:p>
      <w:pPr>
        <w:spacing w:after="0" w:line="49"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David Dean Halbert</w:t>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Founder, Chairman, and Chief Executive Officer</w:t>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5"/>
          <w:szCs w:val="15"/>
          <w:i w:val="1"/>
          <w:iCs w:val="1"/>
          <w:color w:val="auto"/>
        </w:rPr>
        <w:t>(Principal Executive Officer)</w:t>
      </w:r>
    </w:p>
    <w:p>
      <w:pPr>
        <w:spacing w:after="0" w:line="287" w:lineRule="exact"/>
        <w:rPr>
          <w:sz w:val="20"/>
          <w:szCs w:val="20"/>
          <w:color w:val="auto"/>
        </w:rPr>
      </w:pPr>
    </w:p>
    <w:p>
      <w:pPr>
        <w:spacing w:after="0"/>
        <w:tabs>
          <w:tab w:leader="none" w:pos="5720" w:val="left"/>
          <w:tab w:leader="none" w:pos="6220" w:val="left"/>
        </w:tabs>
        <w:rPr>
          <w:sz w:val="20"/>
          <w:szCs w:val="20"/>
          <w:color w:val="auto"/>
        </w:rPr>
      </w:pPr>
      <w:r>
        <w:rPr>
          <w:rFonts w:ascii="Arial" w:cs="Arial" w:eastAsia="Arial" w:hAnsi="Arial"/>
          <w:sz w:val="15"/>
          <w:szCs w:val="15"/>
          <w:color w:val="auto"/>
        </w:rPr>
        <w:t>Date: May 08, 2026</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Luke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31115</wp:posOffset>
            </wp:positionV>
            <wp:extent cx="280733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07335" cy="6985"/>
                    </a:xfrm>
                    <a:prstGeom prst="rect">
                      <a:avLst/>
                    </a:prstGeom>
                    <a:noFill/>
                  </pic:spPr>
                </pic:pic>
              </a:graphicData>
            </a:graphic>
          </wp:anchor>
        </w:drawing>
      </w:r>
    </w:p>
    <w:p>
      <w:pPr>
        <w:spacing w:after="0" w:line="49"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Luke Power</w:t>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Senior Vice President, Chief Financial Officer, and Chief</w:t>
      </w:r>
    </w:p>
    <w:p>
      <w:pPr>
        <w:spacing w:after="0" w:line="25"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Accounting Officer</w:t>
      </w:r>
    </w:p>
    <w:p>
      <w:pPr>
        <w:spacing w:after="0" w:line="43" w:lineRule="exact"/>
        <w:rPr>
          <w:sz w:val="20"/>
          <w:szCs w:val="20"/>
          <w:color w:val="auto"/>
        </w:rPr>
      </w:pPr>
    </w:p>
    <w:p>
      <w:pPr>
        <w:ind w:left="624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580"/>
          </w:cols>
          <w:pgMar w:left="320" w:top="124" w:right="999" w:bottom="1440" w:gutter="0" w:footer="0" w:header="0"/>
        </w:sectPr>
      </w:pPr>
    </w:p>
    <w:bookmarkStart w:id="45" w:name="page46"/>
    <w:bookmarkEnd w:id="45"/>
    <w:p>
      <w:pPr>
        <w:ind w:left="8860"/>
        <w:spacing w:after="0"/>
        <w:rPr>
          <w:sz w:val="20"/>
          <w:szCs w:val="20"/>
          <w:color w:val="auto"/>
        </w:rPr>
      </w:pPr>
      <w:r>
        <w:rPr>
          <w:rFonts w:ascii="Times New Roman" w:cs="Times New Roman" w:eastAsia="Times New Roman" w:hAnsi="Times New Roman"/>
          <w:sz w:val="18"/>
          <w:szCs w:val="18"/>
          <w:b w:val="1"/>
          <w:bCs w:val="1"/>
          <w:i w:val="1"/>
          <w:iCs w:val="1"/>
          <w:color w:val="auto"/>
        </w:rPr>
        <w:t>Exhibit 10.1 - Redacted Version</w:t>
      </w:r>
    </w:p>
    <w:p>
      <w:pPr>
        <w:spacing w:after="0" w:line="2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CERTAIN IDENTIFIED INFORMATION HAS BEEN EXCLUDED FROM THE EXHIBIT BECAUSE IT BOTH (I) IS NOT MATERIAL AND (II) WOULD BE COMPETITIVELY HARMFUL IF PUBLICLY DISCLOSED. SUCH EXCLUDED INFORMATION HAS BEEN MARKED WITH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FINANCING AGREEMENT</w:t>
      </w:r>
    </w:p>
    <w:p>
      <w:pPr>
        <w:spacing w:after="0" w:line="19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dated as of April 1, 2026</w:t>
      </w:r>
    </w:p>
    <w:p>
      <w:pPr>
        <w:spacing w:after="0" w:line="19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CARIS LIFE SCIENCES,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18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CERTAIN SUBSIDIARIES OF BORROWER, as Guarantors,</w:t>
      </w:r>
    </w:p>
    <w:p>
      <w:pPr>
        <w:spacing w:after="0" w:line="19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VARIOUS LENDERS FROM TIME TO TIME PARTY HERETO,</w:t>
      </w:r>
    </w:p>
    <w:p>
      <w:pPr>
        <w:spacing w:after="0" w:line="1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9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BLUE OWL CAPITAL CORPORATION,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ectPr>
          <w:pgSz w:w="11900" w:h="16838" w:orient="portrait"/>
          <w:cols w:equalWidth="0" w:num="1">
            <w:col w:w="11260"/>
          </w:cols>
          <w:pgMar w:left="320" w:top="124"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4"/>
        </w:trPr>
        <w:tc>
          <w:tcPr>
            <w:tcW w:w="1780" w:type="dxa"/>
            <w:vAlign w:val="bottom"/>
          </w:tcPr>
          <w:p>
            <w:pPr>
              <w:spacing w:after="0"/>
              <w:rPr>
                <w:sz w:val="21"/>
                <w:szCs w:val="21"/>
                <w:color w:val="auto"/>
              </w:rPr>
            </w:pPr>
          </w:p>
        </w:tc>
        <w:tc>
          <w:tcPr>
            <w:tcW w:w="874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1"/>
                <w:szCs w:val="21"/>
                <w:color w:val="auto"/>
              </w:rPr>
            </w:pPr>
          </w:p>
        </w:tc>
      </w:tr>
      <w:tr>
        <w:trPr>
          <w:trHeight w:val="174"/>
        </w:trPr>
        <w:tc>
          <w:tcPr>
            <w:tcW w:w="178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5"/>
              </w:rPr>
              <w:t>Page</w:t>
            </w:r>
          </w:p>
        </w:tc>
      </w:tr>
      <w:tr>
        <w:trPr>
          <w:trHeight w:val="207"/>
        </w:trPr>
        <w:tc>
          <w:tcPr>
            <w:tcW w:w="10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 DEFINITIONS AND INTERPRETATION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1.1</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Definitions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1.2</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Accounting and Other Terms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50</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1.3</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Interpretation, Etc</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1.4</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Time References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52</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1.5</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Certain Matters of Construction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52</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1.6</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Rates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53</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1.7</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Financial Metrics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54</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1.8</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Calculation of Baskets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54</w:t>
            </w:r>
          </w:p>
        </w:tc>
      </w:t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ARTICLE II LOANS</w:t>
            </w:r>
          </w:p>
        </w:tc>
        <w:tc>
          <w:tcPr>
            <w:tcW w:w="874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54</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Term Loans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54</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2.2</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Use of Proceeds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56</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2.3</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Evidence of Debt; Register; Lenders’ Books and Records; Notes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57</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2.4</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Interest</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57</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2.5</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Conversion/Continuation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59</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2.6</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Default Interest</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59</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2.7</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Fees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59</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2.8</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Repayment of Term Loans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59</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2.9</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Voluntary Prepayments; Commitment Termination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60</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2.10</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Mandatory Prepayment</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60</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2.11</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Application of Prepayments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62</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2.12</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General Provisions Regarding Payments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63</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2.13</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Ratable Sharing</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65</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2.14</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Increased Costs; Capital Adequacy</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66</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2.15</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Taxes; Withholding, Etc</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67</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2.16</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Obligation to Mitigate</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2.17</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Defaulting Lenders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72</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2.18</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[Reserved]</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72</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2.19</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Making or Maintaining SOFR Loans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72</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2.20</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Benchmark Replacement Setting</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74</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2.21</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Incremental Term Loans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75</w:t>
            </w:r>
          </w:p>
        </w:tc>
      </w:tr>
      <w:tr>
        <w:trPr>
          <w:trHeight w:val="195"/>
        </w:trPr>
        <w:tc>
          <w:tcPr>
            <w:tcW w:w="10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III CONDITIONS PRECEDENT</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77</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3.1</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Closing Date</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77</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3.2</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Conditions to Each Delayed Draw Term Loan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80</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3.3</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Conditions to Each Loan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80</w:t>
            </w:r>
          </w:p>
        </w:tc>
      </w:tr>
      <w:tr>
        <w:trPr>
          <w:trHeight w:val="195"/>
        </w:trPr>
        <w:tc>
          <w:tcPr>
            <w:tcW w:w="10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REPRESENTATIONS AND WARRANTIES</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Organization; Requisite Power and Authority; Qualification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Capital Stock and Ownership</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81</w:t>
            </w:r>
          </w:p>
        </w:tc>
      </w:tr>
      <w:tr>
        <w:trPr>
          <w:trHeight w:val="195"/>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Due Authorization</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81</w:t>
            </w:r>
          </w:p>
        </w:tc>
      </w:tr>
      <w:tr>
        <w:trPr>
          <w:trHeight w:val="198"/>
        </w:trPr>
        <w:tc>
          <w:tcPr>
            <w:tcW w:w="17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4.4</w:t>
            </w: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No Conflict</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820"/>
          </w:cols>
          <w:pgMar w:left="320" w:top="951" w:right="7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4.5</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Governmental Consents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82</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4.6</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Binding Obligation</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82</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4.7</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Historical Financial Statements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82</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4.8</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[Reserved]</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82</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4.9</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No Material Adverse Effect</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82</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4.10</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Adverse Proceedings, Etc</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83</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4.11</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Payment of Taxes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83</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4.12</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Properties, Title</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83</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4.13</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Environmental Matters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83</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4.14</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No Defaults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84</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4.15</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Material Contracts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84</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4.16</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Governmental Regulation</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84</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4.17</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Margin Stock</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84</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4.18</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Employee Benefit Plans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4.19</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Certain Fees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4.20</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Solvency</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4.21</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ERISA</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4.22</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Compliance with Statutes, Etc</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4.23</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Intellectual Property</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4.24</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Insurance</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4.25</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[Reserved]</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4.26</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[Reserved]</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4.27</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[Reserved]</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4.28</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Security Interests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4.29</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Sanctions and FCPA</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4.30</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[Reserved]</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89</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4.31</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Disclosure</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89</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4.32</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Use of Proceeds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89</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4.33</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Permits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89</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4.34</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Regulatory Matters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89</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4.35</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HIPAA</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92</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4.35</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Data Privacy and Information Security</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93</w:t>
            </w:r>
          </w:p>
        </w:tc>
      </w:tr>
      <w:tr>
        <w:trPr>
          <w:trHeight w:val="195"/>
        </w:trPr>
        <w:tc>
          <w:tcPr>
            <w:tcW w:w="7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 AFFIRMATIVE COVENANTS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5.1</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Financial Statements and Other Reports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95</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5.2</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Existence</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5.3</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Payment of Taxes and Claims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98</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5.4</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Maintenance of Properties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rPr>
              <w:t>99</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5.5</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Insurance</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5.6</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Books and Records; Inspections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5.7</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Lender Calls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5"/>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5.8</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Compliance with Laws</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w w:val="97"/>
              </w:rPr>
              <w:t>100</w:t>
            </w:r>
          </w:p>
        </w:tc>
      </w:tr>
      <w:tr>
        <w:trPr>
          <w:trHeight w:val="198"/>
        </w:trPr>
        <w:tc>
          <w:tcPr>
            <w:tcW w:w="16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5.9</w:t>
            </w:r>
          </w:p>
        </w:tc>
        <w:tc>
          <w:tcPr>
            <w:tcW w:w="59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Environmental</w:t>
            </w:r>
          </w:p>
        </w:tc>
        <w:tc>
          <w:tcPr>
            <w:tcW w:w="3160" w:type="dxa"/>
            <w:vAlign w:val="bottom"/>
          </w:tcPr>
          <w:p>
            <w:pPr>
              <w:ind w:left="2920"/>
              <w:spacing w:after="0"/>
              <w:rPr>
                <w:sz w:val="20"/>
                <w:szCs w:val="20"/>
                <w:color w:val="auto"/>
              </w:rPr>
            </w:pPr>
            <w:r>
              <w:rPr>
                <w:rFonts w:ascii="Times New Roman" w:cs="Times New Roman" w:eastAsia="Times New Roman" w:hAnsi="Times New Roman"/>
                <w:sz w:val="15"/>
                <w:szCs w:val="15"/>
                <w:color w:val="auto"/>
                <w:w w:val="97"/>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760"/>
          </w:cols>
          <w:pgMar w:left="320" w:top="986" w:right="8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2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5.10</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Subsidiaries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101</w:t>
            </w:r>
          </w:p>
        </w:tc>
      </w:tr>
      <w:tr>
        <w:trPr>
          <w:trHeight w:val="195"/>
        </w:trPr>
        <w:tc>
          <w:tcPr>
            <w:tcW w:w="2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5.11</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Assets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102</w:t>
            </w:r>
          </w:p>
        </w:tc>
      </w:tr>
      <w:tr>
        <w:trPr>
          <w:trHeight w:val="195"/>
        </w:trPr>
        <w:tc>
          <w:tcPr>
            <w:tcW w:w="2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5.12</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Further Assurances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102</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5.13</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Control Agreements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103</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5.14</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Post-Closing Matters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103</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5.15</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VCOC Letter</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103</w:t>
            </w:r>
          </w:p>
        </w:tc>
      </w:t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NEGATIVE COVENANTS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103</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Indebtedness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104</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6.2</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Liens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104</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6.3</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Material Contracts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104</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6.4</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 Further Negative Pledges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104</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6.5</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Restricted Junior Payments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105</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6.6</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Restrictions on Subsidiary Distributions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106</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6.7</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6.8</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Minimum Qualified Cash</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6.9</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Fundamental Changes; Disposition of Assets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107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6.10</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[Reserved]</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110</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6.11</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Sales and Leasebacks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110</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6.12</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Transactions with Shareholders and Affiliates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110</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6.13</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Conduct of Business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111</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6.14</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to Organizational Documents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111</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6.15</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Accounting Methods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111</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6.16</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Prepayments of Certain Indebtedness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111</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6.17</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Sanctions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112</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6.18</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Anti-Corruption Laws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112</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6.19</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Use of Proceeds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112</w:t>
            </w:r>
          </w:p>
        </w:tc>
      </w:tr>
      <w:tr>
        <w:trPr>
          <w:trHeight w:val="195"/>
        </w:trPr>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ARTICLE VII GUARANTY</w:t>
            </w:r>
          </w:p>
        </w:tc>
        <w:tc>
          <w:tcPr>
            <w:tcW w:w="6000" w:type="dxa"/>
            <w:vAlign w:val="bottom"/>
          </w:tcPr>
          <w:p>
            <w:pPr>
              <w:spacing w:after="0"/>
              <w:rPr>
                <w:sz w:val="16"/>
                <w:szCs w:val="16"/>
                <w:color w:val="auto"/>
              </w:rPr>
            </w:pP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112</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7.1</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Guaranty of the Obligations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112</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7.2</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Contribution by Guarantors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113</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7.3</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 by Guarantors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113</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7.4</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Liability of Guarantors Absolute</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114</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7.5</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Waivers by Guarantors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115</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7.6</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Guarantors’ Rights of Subrogation, Contribution, Etc</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116</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7.7</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Subordination of Other Obligations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7.8</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Continuing Guaranty</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7.9</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Authority of Guarantors or Borrower</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7.10</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Financial Condition of Borrower</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7.11</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Bankruptcy, Etc</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117</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7.12</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Discharge of Guaranty Upon Sale of Guarantor</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118</w:t>
            </w:r>
          </w:p>
        </w:tc>
      </w:t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VIII EVENTS OF DEFAULT</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118</w:t>
            </w:r>
          </w:p>
        </w:tc>
      </w:tr>
      <w:tr>
        <w:trPr>
          <w:trHeight w:val="195"/>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8.1</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Events of Default</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118</w:t>
            </w:r>
          </w:p>
        </w:tc>
      </w:tr>
      <w:tr>
        <w:trPr>
          <w:trHeight w:val="198"/>
        </w:trPr>
        <w:tc>
          <w:tcPr>
            <w:tcW w:w="2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8.2</w:t>
            </w:r>
          </w:p>
        </w:tc>
        <w:tc>
          <w:tcPr>
            <w:tcW w:w="6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Remedies</w:t>
            </w:r>
          </w:p>
        </w:tc>
        <w:tc>
          <w:tcPr>
            <w:tcW w:w="2760" w:type="dxa"/>
            <w:vAlign w:val="bottom"/>
          </w:tcPr>
          <w:p>
            <w:pPr>
              <w:ind w:left="2520"/>
              <w:spacing w:after="0"/>
              <w:rPr>
                <w:sz w:val="20"/>
                <w:szCs w:val="20"/>
                <w:color w:val="auto"/>
              </w:rPr>
            </w:pPr>
            <w:r>
              <w:rPr>
                <w:rFonts w:ascii="Times New Roman" w:cs="Times New Roman" w:eastAsia="Times New Roman" w:hAnsi="Times New Roman"/>
                <w:sz w:val="15"/>
                <w:szCs w:val="15"/>
                <w:color w:val="auto"/>
                <w:w w:val="97"/>
              </w:rPr>
              <w:t>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760"/>
          </w:cols>
          <w:pgMar w:left="320" w:top="986" w:right="8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21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Section 8.3</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Rights Not Exclusive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195"/>
        </w:trPr>
        <w:tc>
          <w:tcPr>
            <w:tcW w:w="8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ADMINISTRATIVE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9.1</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Appointment of Administrative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9.2</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Powers and Duties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9.3</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General Immunity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9.4</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Administrative Agent Entitled to Act as Lender</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9.5</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Lenders’ Representations, Warranties and Acknowledgment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9.6</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Right to Indemnity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9.7</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Successor Administrative Agent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9.8</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Collateral Documents and Guaranty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9.9</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Agency for Perfection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9.10</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Reports and Other Information; Confidentiality; Disclaimers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9.11</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Protective Advances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9.12</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Erroneous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195"/>
        </w:trPr>
        <w:tc>
          <w:tcPr>
            <w:tcW w:w="2160" w:type="dxa"/>
            <w:vAlign w:val="bottom"/>
          </w:tcPr>
          <w:p>
            <w:pPr>
              <w:spacing w:after="0"/>
              <w:rPr>
                <w:sz w:val="20"/>
                <w:szCs w:val="20"/>
                <w:color w:val="auto"/>
              </w:rPr>
            </w:pPr>
            <w:r>
              <w:rPr>
                <w:rFonts w:ascii="Times New Roman" w:cs="Times New Roman" w:eastAsia="Times New Roman" w:hAnsi="Times New Roman"/>
                <w:sz w:val="15"/>
                <w:szCs w:val="15"/>
                <w:color w:val="auto"/>
              </w:rPr>
              <w:t>ARTICLE X MISCELLANEOUS</w:t>
            </w:r>
          </w:p>
        </w:tc>
        <w:tc>
          <w:tcPr>
            <w:tcW w:w="618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10.3</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Indemnity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10.4</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Set-Off</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10.5</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Amendments and Waivers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10.6</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Successors and Assigns; Participations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10.7</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Independence of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10.8</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Survival of Representations, Warranties and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10.9</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No Waiver; Remedies Cumulative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10.10</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Marshalling; Payments Set Aside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10.11</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10.12</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Obligations Several; Independent Nature of Lenders’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10.13</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10.14</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Original Issue Discount</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10.15</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Headings.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10.16</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APPLICABLE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10.17</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CONSENT TO JURISDICTION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10.18</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WAIVER OF JURY TRIAL</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10.19</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10.20</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Usury Savings Clause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10.21</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10.22</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Effectiveness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10.23</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PATRIOT Act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10.24</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10.25</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Service of Process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r>
        <w:trPr>
          <w:trHeight w:val="195"/>
        </w:trPr>
        <w:tc>
          <w:tcPr>
            <w:tcW w:w="2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Section 10.26</w:t>
            </w: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Acknowledgement and Consent to Bail-In of Affected Financial</w:t>
            </w:r>
          </w:p>
        </w:tc>
        <w:tc>
          <w:tcPr>
            <w:tcW w:w="2420" w:type="dxa"/>
            <w:vAlign w:val="bottom"/>
          </w:tcPr>
          <w:p>
            <w:pPr>
              <w:spacing w:after="0"/>
              <w:rPr>
                <w:sz w:val="16"/>
                <w:szCs w:val="16"/>
                <w:color w:val="auto"/>
              </w:rPr>
            </w:pPr>
          </w:p>
        </w:tc>
      </w:tr>
      <w:tr>
        <w:trPr>
          <w:trHeight w:val="198"/>
        </w:trPr>
        <w:tc>
          <w:tcPr>
            <w:tcW w:w="2160" w:type="dxa"/>
            <w:vAlign w:val="bottom"/>
          </w:tcPr>
          <w:p>
            <w:pPr>
              <w:spacing w:after="0"/>
              <w:rPr>
                <w:sz w:val="17"/>
                <w:szCs w:val="17"/>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Institutions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 iv -</w:t>
      </w:r>
    </w:p>
    <w:p>
      <w:pPr>
        <w:sectPr>
          <w:pgSz w:w="11900" w:h="16838" w:orient="portrait"/>
          <w:cols w:equalWidth="0" w:num="1">
            <w:col w:w="10760"/>
          </w:cols>
          <w:pgMar w:left="320" w:top="986" w:right="8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4"/>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 Loan Commitments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Addresses</w:t>
            </w:r>
          </w:p>
        </w:tc>
      </w:tr>
      <w:tr>
        <w:trPr>
          <w:trHeight w:val="87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1.1(b)</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Specified Contracts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4.1</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Jurisdictions of Organization</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4.2</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 Stock and Ownership</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4.10</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Adverse Proceedings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4.23</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4.24</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4.34</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Regulatory Compliance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5.14</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Post-Closing Matters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Indebtedness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6.2</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Liens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6.6</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Restrictive Agreements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6.7</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Investments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6.9(b)(ii)</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Asset Sales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6.12</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87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A-1</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Funding Notice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A-2</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Conversion/Continuation Notice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 Agreement</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Closing Date Certificate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 Certificate</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 Agreement</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 Tax Compliance Certificates</w:t>
            </w:r>
          </w:p>
        </w:tc>
      </w:tr>
      <w:tr>
        <w:trPr>
          <w:trHeight w:val="413"/>
        </w:trPr>
        <w:tc>
          <w:tcPr>
            <w:tcW w:w="1860" w:type="dxa"/>
            <w:vAlign w:val="bottom"/>
          </w:tcPr>
          <w:p>
            <w:pPr>
              <w:spacing w:after="0"/>
              <w:rPr>
                <w:sz w:val="24"/>
                <w:szCs w:val="24"/>
                <w:color w:val="auto"/>
              </w:rPr>
            </w:pPr>
          </w:p>
        </w:tc>
        <w:tc>
          <w:tcPr>
            <w:tcW w:w="1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H</w:t>
            </w:r>
          </w:p>
        </w:tc>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VCOC Letter</w:t>
            </w:r>
          </w:p>
        </w:tc>
      </w:tr>
    </w:tbl>
    <w:p>
      <w:pPr>
        <w:spacing w:after="0" w:line="200" w:lineRule="exact"/>
        <w:rPr>
          <w:sz w:val="20"/>
          <w:szCs w:val="20"/>
          <w:color w:val="auto"/>
        </w:rPr>
      </w:pPr>
    </w:p>
    <w:p>
      <w:pPr>
        <w:sectPr>
          <w:pgSz w:w="11900" w:h="16838" w:orient="portrait"/>
          <w:cols w:equalWidth="0" w:num="1">
            <w:col w:w="10139"/>
          </w:cols>
          <w:pgMar w:left="320" w:top="9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 v -</w:t>
      </w:r>
    </w:p>
    <w:p>
      <w:pPr>
        <w:sectPr>
          <w:pgSz w:w="11900" w:h="16838" w:orient="portrait"/>
          <w:cols w:equalWidth="0" w:num="1">
            <w:col w:w="10139"/>
          </w:cols>
          <w:pgMar w:left="320" w:top="974" w:right="1440"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u w:val="single" w:color="auto"/>
          <w:color w:val="auto"/>
        </w:rPr>
        <w:t>FINANCING AGREEMENT</w:t>
      </w:r>
    </w:p>
    <w:p>
      <w:pPr>
        <w:spacing w:after="0" w:line="195" w:lineRule="exact"/>
        <w:rPr>
          <w:sz w:val="20"/>
          <w:szCs w:val="20"/>
          <w:color w:val="auto"/>
        </w:rPr>
      </w:pPr>
    </w:p>
    <w:p>
      <w:pPr>
        <w:jc w:val="both"/>
        <w:ind w:firstLine="1102"/>
        <w:spacing w:after="0" w:line="278" w:lineRule="auto"/>
        <w:rPr>
          <w:sz w:val="20"/>
          <w:szCs w:val="20"/>
          <w:color w:val="auto"/>
        </w:rPr>
      </w:pPr>
      <w:r>
        <w:rPr>
          <w:rFonts w:ascii="Times New Roman" w:cs="Times New Roman" w:eastAsia="Times New Roman" w:hAnsi="Times New Roman"/>
          <w:sz w:val="18"/>
          <w:szCs w:val="18"/>
          <w:color w:val="auto"/>
        </w:rPr>
        <w:t>This FINANCING AGREEMENT, dated as of April 1, 2026, is entered into by and among CARIS LIFE SCIENCES, INC., a Texas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certain Subsidiaries of Borrower, as Guarantors, the Lenders from time to time party hereto, and Blue Owl Capital Corporation, a Maryland corporation, as administrative agent for the Lenders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1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WHEREAS, capitalized terms used in these Recitals shall have the respective meanings set forth for such terms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195" w:lineRule="exact"/>
        <w:rPr>
          <w:sz w:val="20"/>
          <w:szCs w:val="20"/>
          <w:color w:val="auto"/>
        </w:rPr>
      </w:pPr>
    </w:p>
    <w:p>
      <w:pPr>
        <w:jc w:val="both"/>
        <w:ind w:firstLine="1102"/>
        <w:spacing w:after="0" w:line="270" w:lineRule="auto"/>
        <w:rPr>
          <w:sz w:val="20"/>
          <w:szCs w:val="20"/>
          <w:color w:val="auto"/>
        </w:rPr>
      </w:pPr>
      <w:r>
        <w:rPr>
          <w:rFonts w:ascii="Times New Roman" w:cs="Times New Roman" w:eastAsia="Times New Roman" w:hAnsi="Times New Roman"/>
          <w:sz w:val="18"/>
          <w:szCs w:val="18"/>
          <w:color w:val="auto"/>
        </w:rPr>
        <w:t xml:space="preserve">WHEREAS, Lenders have agreed to extend certain senior secured credit facilities to Borrower, in an aggregate principal amount not to exceed $1,200,000,000, consisting of (a) an initial term loan in an aggregate principal amount equal to $400,000,000, (b) a committed delayed draw term loan facility in an aggregate principal amount not to exceed $300,000,000, and (c) an uncommitted incremental facility in an aggregate principal amount not to exceed $500,000,000, in each case the proceeds of which will be used as described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both"/>
        <w:ind w:firstLine="1102"/>
        <w:spacing w:after="0" w:line="271" w:lineRule="auto"/>
        <w:rPr>
          <w:sz w:val="20"/>
          <w:szCs w:val="20"/>
          <w:color w:val="auto"/>
        </w:rPr>
      </w:pPr>
      <w:r>
        <w:rPr>
          <w:rFonts w:ascii="Times New Roman" w:cs="Times New Roman" w:eastAsia="Times New Roman" w:hAnsi="Times New Roman"/>
          <w:sz w:val="18"/>
          <w:szCs w:val="18"/>
          <w:color w:val="auto"/>
        </w:rPr>
        <w:t>WHEREAS, Borrower has agreed to secure all of its Obligations by granting to Administrative Agent, for the benefit of Secured Parties, a First Priority Lien on substantially all of its assets (except as otherwise set forth herein or in the Collateral Documents), including a pledge of all of the Capital Stock of each of its direct Subsidiaries (except as otherwise set forth herein or in the Collateral Documents); and</w:t>
      </w:r>
    </w:p>
    <w:p>
      <w:pPr>
        <w:spacing w:after="0" w:line="137" w:lineRule="exact"/>
        <w:rPr>
          <w:sz w:val="20"/>
          <w:szCs w:val="20"/>
          <w:color w:val="auto"/>
        </w:rPr>
      </w:pPr>
    </w:p>
    <w:p>
      <w:pPr>
        <w:jc w:val="both"/>
        <w:ind w:firstLine="1102"/>
        <w:spacing w:after="0" w:line="270" w:lineRule="auto"/>
        <w:rPr>
          <w:sz w:val="20"/>
          <w:szCs w:val="20"/>
          <w:color w:val="auto"/>
        </w:rPr>
      </w:pPr>
      <w:r>
        <w:rPr>
          <w:rFonts w:ascii="Times New Roman" w:cs="Times New Roman" w:eastAsia="Times New Roman" w:hAnsi="Times New Roman"/>
          <w:sz w:val="18"/>
          <w:szCs w:val="18"/>
          <w:color w:val="auto"/>
        </w:rPr>
        <w:t>WHEREAS, Guarantors have agreed to guarantee the Obligations of Borrower hereunder and to secure their respective Obligations by granting to Administrative Agent, for the benefit of Secured Parties, a First Priority Lien on substantially all of their respective assets (except as otherwise set forth herein or in the Collateral Documents), including a pledge or mortgage of all of the Capital Stock of each of their respective direct Subsidiaries (except as otherwise set forth herein or in the Collateral Documents).</w:t>
      </w:r>
    </w:p>
    <w:p>
      <w:pPr>
        <w:spacing w:after="0" w:line="136" w:lineRule="exact"/>
        <w:rPr>
          <w:sz w:val="20"/>
          <w:szCs w:val="20"/>
          <w:color w:val="auto"/>
        </w:rPr>
      </w:pPr>
    </w:p>
    <w:p>
      <w:pPr>
        <w:jc w:val="both"/>
        <w:ind w:right="20" w:firstLine="1102"/>
        <w:spacing w:after="0" w:line="290"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agree as follows:</w:t>
      </w:r>
    </w:p>
    <w:p>
      <w:pPr>
        <w:spacing w:after="0" w:line="1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1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DEFINITIONS AND INTERPRETATION</w:t>
      </w:r>
    </w:p>
    <w:p>
      <w:pPr>
        <w:spacing w:after="0" w:line="160" w:lineRule="exact"/>
        <w:rPr>
          <w:sz w:val="20"/>
          <w:szCs w:val="20"/>
          <w:color w:val="auto"/>
        </w:rPr>
      </w:pPr>
    </w:p>
    <w:p>
      <w:pPr>
        <w:jc w:val="both"/>
        <w:ind w:firstLine="551"/>
        <w:spacing w:after="0" w:line="22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used herein, including in the preamble, recitals, exhibits and schedules hereto, shall have the following meanings:</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specified in the preamble hereto.</w:t>
      </w:r>
    </w:p>
    <w:p>
      <w:pPr>
        <w:spacing w:after="0" w:line="14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Account</w:t>
      </w:r>
      <w:r>
        <w:rPr>
          <w:rFonts w:ascii="Times New Roman" w:cs="Times New Roman" w:eastAsia="Times New Roman" w:hAnsi="Times New Roman"/>
          <w:sz w:val="18"/>
          <w:szCs w:val="18"/>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135828258.v32</w:t>
      </w:r>
    </w:p>
    <w:p>
      <w:pPr>
        <w:sectPr>
          <w:pgSz w:w="11900" w:h="16838" w:orient="portrait"/>
          <w:cols w:equalWidth="0" w:num="1">
            <w:col w:w="11260"/>
          </w:cols>
          <w:pgMar w:left="320" w:top="1230" w:right="319" w:bottom="1440" w:gutter="0" w:footer="0" w:header="0"/>
        </w:sectPr>
      </w:pPr>
    </w:p>
    <w:bookmarkStart w:id="52" w:name="page53"/>
    <w:bookmarkEnd w:id="52"/>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Proceeding</w:t>
      </w:r>
      <w:r>
        <w:rPr>
          <w:rFonts w:ascii="Times New Roman" w:cs="Times New Roman" w:eastAsia="Times New Roman" w:hAnsi="Times New Roman"/>
          <w:sz w:val="18"/>
          <w:szCs w:val="18"/>
          <w:color w:val="auto"/>
        </w:rPr>
        <w:t>” means any action, suit, proceeding (whether administrative, judicial or otherwise), civil investigative demand,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arbitrator, whether pending or, to the knowledge of Borrower or any of its Subsidiaries, threatened in writing, and, in each case, solely to the extent any of the foregoing is brought or targeted against Borrower or any of its Subsidiaries or any property of Borrower or any of its Subsidiaries.</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Notwithstanding anything herein to the contrary, in no event shall Administrative Agent or any Lender or any of their Affiliates or Related Funds be considered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Loan Party. Any reference to an Affiliate of Blue Owl Capital Corporation shall include its affiliated funding entity, Hedgewig Funding I LLC, and any Person that is Controlled or managed by Blue Owl Capital Corporation (or its Affiliates), or where Blue Owl Capital Corporation, together with its Affiliates, has a direct or indirect majority economic interest therein.</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Financing Agreement and any annexes, exhibits and schedules attached hereto.</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29"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as of any date of determination with respect to any Initial Term Loan and any Delayed Draw Term Loan, the applicable percentage per annum set forth in the table below:</w:t>
      </w:r>
    </w:p>
    <w:p>
      <w:pPr>
        <w:spacing w:after="0" w:line="157" w:lineRule="exact"/>
        <w:rPr>
          <w:sz w:val="20"/>
          <w:szCs w:val="20"/>
          <w:color w:val="auto"/>
        </w:rPr>
      </w:pPr>
    </w:p>
    <w:tbl>
      <w:tblPr>
        <w:tblLayout w:type="fixed"/>
        <w:tblInd w:w="1650" w:type="dxa"/>
        <w:tblCellMar>
          <w:top w:w="0" w:type="dxa"/>
          <w:left w:w="0" w:type="dxa"/>
          <w:bottom w:w="0" w:type="dxa"/>
          <w:right w:w="0" w:type="dxa"/>
        </w:tblCellMar>
      </w:tblPr>
      <w:tr>
        <w:trPr>
          <w:trHeight w:val="255"/>
        </w:trPr>
        <w:tc>
          <w:tcPr>
            <w:tcW w:w="26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26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r>
      <w:tr>
        <w:trPr>
          <w:trHeight w:val="352"/>
        </w:trPr>
        <w:tc>
          <w:tcPr>
            <w:tcW w:w="26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SOFR Loans</w:t>
            </w:r>
          </w:p>
        </w:tc>
        <w:tc>
          <w:tcPr>
            <w:tcW w:w="26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Base Rate Loans</w:t>
            </w:r>
          </w:p>
        </w:tc>
      </w:tr>
      <w:tr>
        <w:trPr>
          <w:trHeight w:val="185"/>
        </w:trPr>
        <w:tc>
          <w:tcPr>
            <w:tcW w:w="2600" w:type="dxa"/>
            <w:vAlign w:val="bottom"/>
            <w:tcBorders>
              <w:left w:val="single" w:sz="8" w:color="auto"/>
              <w:bottom w:val="single" w:sz="8" w:color="auto"/>
              <w:right w:val="single" w:sz="8" w:color="auto"/>
            </w:tcBorders>
            <w:shd w:val="clear" w:color="auto" w:fill="D9D9D9"/>
          </w:tcPr>
          <w:p>
            <w:pPr>
              <w:spacing w:after="0"/>
              <w:rPr>
                <w:sz w:val="16"/>
                <w:szCs w:val="16"/>
                <w:color w:val="auto"/>
              </w:rPr>
            </w:pPr>
          </w:p>
        </w:tc>
        <w:tc>
          <w:tcPr>
            <w:tcW w:w="2600" w:type="dxa"/>
            <w:vAlign w:val="bottom"/>
            <w:tcBorders>
              <w:bottom w:val="single" w:sz="8" w:color="auto"/>
              <w:right w:val="single" w:sz="8" w:color="auto"/>
            </w:tcBorders>
            <w:shd w:val="clear" w:color="auto" w:fill="D9D9D9"/>
          </w:tcPr>
          <w:p>
            <w:pPr>
              <w:spacing w:after="0"/>
              <w:rPr>
                <w:sz w:val="16"/>
                <w:szCs w:val="16"/>
                <w:color w:val="auto"/>
              </w:rPr>
            </w:pPr>
          </w:p>
        </w:tc>
      </w:tr>
      <w:tr>
        <w:trPr>
          <w:trHeight w:val="231"/>
        </w:trPr>
        <w:tc>
          <w:tcPr>
            <w:tcW w:w="2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r>
      <w:tr>
        <w:trPr>
          <w:trHeight w:val="174"/>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r>
    </w:tbl>
    <w:p>
      <w:pPr>
        <w:spacing w:after="0" w:line="6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 xml:space="preserve">Furthermore, the Applicable Margin in respect of any Incremental Term Loans or Replacement Term Loans shall be the applicable percentages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annum </w:t>
      </w:r>
      <w:r>
        <w:rPr>
          <w:rFonts w:ascii="Times New Roman" w:cs="Times New Roman" w:eastAsia="Times New Roman" w:hAnsi="Times New Roman"/>
          <w:sz w:val="18"/>
          <w:szCs w:val="18"/>
          <w:color w:val="auto"/>
        </w:rPr>
        <w:t>set forth in the applicable Incremental Amendment or Refinancing Amendment,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260"/>
          </w:cols>
          <w:pgMar w:left="320" w:top="1207" w:right="319" w:bottom="1440" w:gutter="0" w:footer="0" w:header="0"/>
        </w:sectPr>
      </w:pPr>
    </w:p>
    <w:bookmarkStart w:id="53" w:name="page54"/>
    <w:bookmarkEnd w:id="53"/>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 Event</w:t>
      </w:r>
      <w:r>
        <w:rPr>
          <w:rFonts w:ascii="Times New Roman" w:cs="Times New Roman" w:eastAsia="Times New Roman" w:hAnsi="Times New Roman"/>
          <w:sz w:val="18"/>
          <w:szCs w:val="18"/>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 a sale, lease or sublease (as lessor or sublessor), sale and leaseback, assignment, conveyance, transfer, license or sublicense or other disposition to, or any exchange of property with, any Person (other than to a Loan Party), in one transaction or a series of transactions, of all or any part of Borrower or any Subsidiaries’ businesses, assets or properties of any kind, whether real, personal, or mixed and whether tangible or intangible, whether now owned or hereafter acquired, including, without limitation, the Capital Stock of any Loan Party. For purposes of clarification,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shall include (a) the sale or other disposition for value of any contracts, (b) any disposition of property through a “plan of division” under the Delaware Limited Liability Company Act or any comparable transaction under any similar law, (c) any sale of accounts (or any rights thereto (including, without limitation, any rights to any residual payment stream with respect thereto)) by any Loan Party or Subsidiary of Borrower, and (d) any Royalty Monetization Transaction.</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Notwithstanding the foregoing, none of the following items will be deemed to be an Asset Sale:</w:t>
      </w:r>
    </w:p>
    <w:p>
      <w:pPr>
        <w:spacing w:after="0" w:line="172" w:lineRule="exact"/>
        <w:rPr>
          <w:sz w:val="20"/>
          <w:szCs w:val="20"/>
          <w:color w:val="auto"/>
        </w:rPr>
      </w:pPr>
    </w:p>
    <w:p>
      <w:pPr>
        <w:ind w:left="1080" w:hanging="537"/>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a Subsidiary of Borrower to Borrower or to another Loan Party;</w:t>
      </w:r>
    </w:p>
    <w:p>
      <w:pPr>
        <w:spacing w:after="0" w:line="160"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Borrower;</w:t>
      </w:r>
    </w:p>
    <w:p>
      <w:pPr>
        <w:spacing w:after="0" w:line="160" w:lineRule="exact"/>
        <w:rPr>
          <w:rFonts w:ascii="Times New Roman" w:cs="Times New Roman" w:eastAsia="Times New Roman" w:hAnsi="Times New Roman"/>
          <w:sz w:val="18"/>
          <w:szCs w:val="18"/>
          <w:color w:val="auto"/>
        </w:rPr>
      </w:pPr>
    </w:p>
    <w:p>
      <w:pPr>
        <w:ind w:left="1100" w:right="20" w:hanging="557"/>
        <w:spacing w:after="0" w:line="245"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transfer of Cash or Cash Equivalents in a manner that is not prohibited by the terms of this Agreement or the other Loan Documents;</w:t>
      </w:r>
    </w:p>
    <w:p>
      <w:pPr>
        <w:spacing w:after="0" w:line="339" w:lineRule="exact"/>
        <w:rPr>
          <w:rFonts w:ascii="Times New Roman" w:cs="Times New Roman" w:eastAsia="Times New Roman" w:hAnsi="Times New Roman"/>
          <w:sz w:val="18"/>
          <w:szCs w:val="18"/>
          <w:color w:val="auto"/>
        </w:rPr>
      </w:pPr>
    </w:p>
    <w:p>
      <w:pPr>
        <w:ind w:left="1100" w:hanging="557"/>
        <w:spacing w:after="0" w:line="250" w:lineRule="auto"/>
        <w:tabs>
          <w:tab w:leader="none" w:pos="10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non-exclusive licensing or non-exclusive sublicensing alone of any Intellectual Property Rights in the ordinary course of business and that is otherwise permitted under this Agreement; and</w:t>
      </w:r>
    </w:p>
    <w:p>
      <w:pPr>
        <w:spacing w:after="0" w:line="119"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means an Assignment and Assumption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with such amendments or modifications as may be approved by Administrative Agent.</w:t>
      </w:r>
    </w:p>
    <w:p>
      <w:pPr>
        <w:spacing w:after="0" w:line="12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w:t>
      </w:r>
    </w:p>
    <w:p>
      <w:pPr>
        <w:spacing w:after="0" w:line="120" w:lineRule="exact"/>
        <w:rPr>
          <w:sz w:val="20"/>
          <w:szCs w:val="20"/>
          <w:color w:val="auto"/>
        </w:rPr>
      </w:pPr>
    </w:p>
    <w:p>
      <w:pPr>
        <w:jc w:val="both"/>
        <w:ind w:firstLine="551"/>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260"/>
          </w:cols>
          <w:pgMar w:left="320" w:top="1207" w:right="319" w:bottom="1440" w:gutter="0" w:footer="0" w:header="0"/>
        </w:sectPr>
      </w:pPr>
    </w:p>
    <w:bookmarkStart w:id="54" w:name="page55"/>
    <w:bookmarkEnd w:id="54"/>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2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as now and hereafter in effect, or any successor statute.</w:t>
      </w:r>
    </w:p>
    <w:p>
      <w:pPr>
        <w:spacing w:after="0" w:line="16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½ of 1%, (c) Term SOFR (which rate shall be calculated based upon an Interest Period of one (1) month and to be determined on a daily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 per annum. Any change in the Prime Rate, the Federal Funds Effective Rate or Term SOFR shall be effective on the effective day of such change in the Prime Rate, the Federal Funds Effective Rate or Term SOFR, respectively.</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bearing interest at a rate determined by reference to the Base Rate.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Term SOFR or the then-current Benchmark, then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Administrative Agent in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(including any related Benchmark Replacement Adjustment) would be less than the Floor, such Benchmark Replacement shall be deemed to be the Floor for the purposes of this Agreement and the other Loan Documents.</w:t>
      </w:r>
    </w:p>
    <w:p>
      <w:pPr>
        <w:spacing w:after="0" w:line="13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reasonably selected by the Administrative Agent in consultation with Borrower giving due consideration to (a) any selection or recommendation of a spread adjustment, or method for calculating or determining such spread adjustment, for the replacement of such Benchmark with the applicable Unadjusted Benchmark Replacement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260"/>
          </w:cols>
          <w:pgMar w:left="320" w:top="1207" w:right="319" w:bottom="1440" w:gutter="0" w:footer="0" w:header="0"/>
        </w:sectPr>
      </w:pPr>
    </w:p>
    <w:bookmarkStart w:id="55" w:name="page56"/>
    <w:bookmarkEnd w:id="55"/>
    <w:p>
      <w:pPr>
        <w:jc w:val="both"/>
        <w:spacing w:after="0" w:line="234" w:lineRule="auto"/>
        <w:rPr>
          <w:sz w:val="20"/>
          <w:szCs w:val="20"/>
          <w:color w:val="auto"/>
        </w:rPr>
      </w:pPr>
      <w:r>
        <w:rPr>
          <w:rFonts w:ascii="Times New Roman" w:cs="Times New Roman" w:eastAsia="Times New Roman" w:hAnsi="Times New Roman"/>
          <w:sz w:val="18"/>
          <w:szCs w:val="18"/>
          <w:color w:val="auto"/>
        </w:rPr>
        <w:t>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60" w:lineRule="exact"/>
        <w:rPr>
          <w:sz w:val="20"/>
          <w:szCs w:val="20"/>
          <w:color w:val="auto"/>
        </w:rPr>
      </w:pPr>
    </w:p>
    <w:p>
      <w:pPr>
        <w:jc w:val="both"/>
        <w:ind w:firstLine="543"/>
        <w:spacing w:after="0" w:line="234"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29" w:lineRule="exact"/>
        <w:rPr>
          <w:rFonts w:ascii="Times New Roman" w:cs="Times New Roman" w:eastAsia="Times New Roman" w:hAnsi="Times New Roman"/>
          <w:sz w:val="18"/>
          <w:szCs w:val="18"/>
          <w:color w:val="auto"/>
        </w:rPr>
      </w:pPr>
    </w:p>
    <w:p>
      <w:pPr>
        <w:jc w:val="both"/>
        <w:ind w:firstLine="543"/>
        <w:spacing w:after="0" w:line="226" w:lineRule="auto"/>
        <w:tabs>
          <w:tab w:leader="none" w:pos="10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xml:space="preserve">,”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151" w:lineRule="exact"/>
        <w:rPr>
          <w:sz w:val="20"/>
          <w:szCs w:val="20"/>
          <w:color w:val="auto"/>
        </w:rPr>
      </w:pPr>
    </w:p>
    <w:p>
      <w:pPr>
        <w:jc w:val="both"/>
        <w:ind w:firstLine="1102"/>
        <w:spacing w:after="0" w:line="271" w:lineRule="auto"/>
        <w:rPr>
          <w:sz w:val="20"/>
          <w:szCs w:val="20"/>
          <w:color w:val="auto"/>
        </w:rPr>
      </w:pPr>
      <w:r>
        <w:rPr>
          <w:rFonts w:ascii="Times New Roman" w:cs="Times New Roman" w:eastAsia="Times New Roman" w:hAnsi="Times New Roman"/>
          <w:sz w:val="18"/>
          <w:szCs w:val="18"/>
          <w:color w:val="auto"/>
        </w:rPr>
        <w:t>For the avoidance of doubt, the “</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xml:space="preserv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60" w:lineRule="exact"/>
        <w:rPr>
          <w:sz w:val="20"/>
          <w:szCs w:val="20"/>
          <w:color w:val="auto"/>
        </w:rPr>
      </w:pPr>
    </w:p>
    <w:p>
      <w:pPr>
        <w:jc w:val="both"/>
        <w:ind w:firstLine="543"/>
        <w:spacing w:after="0" w:line="229"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28" w:lineRule="exact"/>
        <w:rPr>
          <w:rFonts w:ascii="Times New Roman" w:cs="Times New Roman" w:eastAsia="Times New Roman" w:hAnsi="Times New Roman"/>
          <w:sz w:val="18"/>
          <w:szCs w:val="18"/>
          <w:color w:val="auto"/>
        </w:rPr>
      </w:pPr>
    </w:p>
    <w:p>
      <w:pPr>
        <w:jc w:val="both"/>
        <w:ind w:firstLine="543"/>
        <w:spacing w:after="0" w:line="222" w:lineRule="auto"/>
        <w:tabs>
          <w:tab w:leader="none" w:pos="10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80" w:hanging="109"/>
        <w:spacing w:after="0"/>
        <w:tabs>
          <w:tab w:leader="none" w:pos="5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260"/>
          </w:cols>
          <w:pgMar w:left="320" w:top="1207" w:right="319" w:bottom="1440" w:gutter="0" w:footer="0" w:header="0"/>
        </w:sectPr>
      </w:pPr>
    </w:p>
    <w:bookmarkStart w:id="56" w:name="page57"/>
    <w:bookmarkEnd w:id="56"/>
    <w:p>
      <w:pPr>
        <w:jc w:val="both"/>
        <w:spacing w:after="0" w:line="250" w:lineRule="auto"/>
        <w:rPr>
          <w:sz w:val="20"/>
          <w:szCs w:val="20"/>
          <w:color w:val="auto"/>
        </w:rPr>
      </w:pPr>
      <w:r>
        <w:rPr>
          <w:rFonts w:ascii="Times New Roman" w:cs="Times New Roman" w:eastAsia="Times New Roman" w:hAnsi="Times New Roman"/>
          <w:sz w:val="18"/>
          <w:szCs w:val="18"/>
          <w:color w:val="auto"/>
        </w:rPr>
        <w:t>thereof) announcing that all Available Tenors of such Benchmark (or such component thereof) are not, or as of a specified future date will not be, representative.</w:t>
      </w:r>
    </w:p>
    <w:p>
      <w:pPr>
        <w:spacing w:after="0" w:line="143" w:lineRule="exact"/>
        <w:rPr>
          <w:sz w:val="20"/>
          <w:szCs w:val="20"/>
          <w:color w:val="auto"/>
        </w:rPr>
      </w:pPr>
    </w:p>
    <w:p>
      <w:pPr>
        <w:jc w:val="both"/>
        <w:ind w:right="20" w:firstLine="1102"/>
        <w:spacing w:after="0" w:line="271" w:lineRule="auto"/>
        <w:rPr>
          <w:sz w:val="20"/>
          <w:szCs w:val="20"/>
          <w:color w:val="auto"/>
        </w:rPr>
      </w:pPr>
      <w:r>
        <w:rPr>
          <w:rFonts w:ascii="Times New Roman" w:cs="Times New Roman" w:eastAsia="Times New Roman" w:hAnsi="Times New Roman"/>
          <w:sz w:val="18"/>
          <w:szCs w:val="18"/>
          <w:color w:val="auto"/>
        </w:rPr>
        <w:t>For the avoidance of doubt, a “</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6"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29" w:lineRule="exact"/>
        <w:rPr>
          <w:sz w:val="20"/>
          <w:szCs w:val="20"/>
          <w:color w:val="auto"/>
        </w:rPr>
      </w:pPr>
    </w:p>
    <w:p>
      <w:pPr>
        <w:jc w:val="both"/>
        <w:ind w:right="20"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means Administrative Agent and each Lender.</w:t>
      </w:r>
    </w:p>
    <w:p>
      <w:pPr>
        <w:spacing w:after="0" w:line="16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 purposes of Title I of ERISA or Section 4975 of the Internal Revenue Code) the assets of any such “employee benefit plan” or “plan”.</w:t>
      </w:r>
    </w:p>
    <w:p>
      <w:pPr>
        <w:spacing w:after="0" w:line="129"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Blackstone</w:t>
      </w:r>
      <w:r>
        <w:rPr>
          <w:rFonts w:ascii="Times New Roman" w:cs="Times New Roman" w:eastAsia="Times New Roman" w:hAnsi="Times New Roman"/>
          <w:sz w:val="18"/>
          <w:szCs w:val="18"/>
          <w:color w:val="auto"/>
        </w:rPr>
        <w:t>” means each of Blackstone Credit, Blackstone Holdings Finance Co. L.L.C. and any of their respective Affiliates, including, without limitation, certain funds, accounts and clients managed, advised, or sub-advised or administered by Blackstone Credit, Blackstone Finance or any of their respective Affiliates, as the context may require, and any warehouse entity.</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Blackstone Credit</w:t>
      </w:r>
      <w:r>
        <w:rPr>
          <w:rFonts w:ascii="Times New Roman" w:cs="Times New Roman" w:eastAsia="Times New Roman" w:hAnsi="Times New Roman"/>
          <w:sz w:val="18"/>
          <w:szCs w:val="18"/>
          <w:color w:val="auto"/>
        </w:rPr>
        <w:t>” means Blackstone Alternative Credit Advisors LP (on behalf of its funds, accounts and clients managed, advised or sub-advised by it or its affiliates).</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Blackstone Entities</w:t>
      </w:r>
      <w:r>
        <w:rPr>
          <w:rFonts w:ascii="Times New Roman" w:cs="Times New Roman" w:eastAsia="Times New Roman" w:hAnsi="Times New Roman"/>
          <w:sz w:val="18"/>
          <w:szCs w:val="18"/>
          <w:color w:val="auto"/>
        </w:rPr>
        <w:t>” means Blackstone Credit, any of its affiliates, and shall include, without limitation, certain funds, accounts and clients managed, advised, sub-advised or administered by Blackstone Credit or any of their respective affiliates, as the context may require, and any warehouse entity.</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Owl</w:t>
      </w:r>
      <w:r>
        <w:rPr>
          <w:rFonts w:ascii="Times New Roman" w:cs="Times New Roman" w:eastAsia="Times New Roman" w:hAnsi="Times New Roman"/>
          <w:sz w:val="18"/>
          <w:szCs w:val="18"/>
          <w:color w:val="auto"/>
        </w:rPr>
        <w:t>” means Blue Owl Capital Corporation, and any of its Affiliates and their respective affiliated funds or accounts.</w:t>
      </w:r>
    </w:p>
    <w:p>
      <w:pPr>
        <w:spacing w:after="0" w:line="16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60"/>
          </w:cols>
          <w:pgMar w:left="320" w:top="1207" w:right="31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8"/>
          <w:szCs w:val="18"/>
          <w:color w:val="auto"/>
        </w:rPr>
        <w:t>or the managing member thereof, and (d) with respect to any other Person, the board or committee of such Person serving a similar function.</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preamble hereto.</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Associate</w:t>
      </w:r>
      <w:r>
        <w:rPr>
          <w:rFonts w:ascii="Times New Roman" w:cs="Times New Roman" w:eastAsia="Times New Roman" w:hAnsi="Times New Roman"/>
          <w:sz w:val="18"/>
          <w:szCs w:val="18"/>
          <w:color w:val="auto"/>
        </w:rPr>
        <w:t>” has the same meaning as the term “business associate” in 45 C.F.R. § 160.103.</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any other day on which the Federal Reserve Bank of New York is closed.</w:t>
      </w:r>
    </w:p>
    <w:p>
      <w:pPr>
        <w:spacing w:after="0" w:line="160" w:lineRule="exact"/>
        <w:rPr>
          <w:sz w:val="20"/>
          <w:szCs w:val="20"/>
          <w:color w:val="auto"/>
        </w:rPr>
      </w:pPr>
    </w:p>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as applied to any Person, any lease of any property (whether real, personal or mixed) by that Person (a) as lessee that, in conformity with GAAP, is or should be accounted for as a capital lease on the balance sheet of that Person or (b) as lessee that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29" w:lineRule="exact"/>
        <w:rPr>
          <w:sz w:val="20"/>
          <w:szCs w:val="20"/>
          <w:color w:val="auto"/>
        </w:rPr>
      </w:pPr>
    </w:p>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means any and all shares, interests, participations or other equivalents (however designated) of capital stock of a company or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Capital Stock shall exclude debt securities and other Indebtedness convertible into or exchangeable for any of the foregoing (including without limitation, Permitted Convertible Indebtedness and Permitted Call Spread Swap Agreements).</w:t>
      </w:r>
    </w:p>
    <w:p>
      <w:pPr>
        <w:spacing w:after="0" w:line="12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Caris Discovery</w:t>
      </w:r>
      <w:r>
        <w:rPr>
          <w:rFonts w:ascii="Times New Roman" w:cs="Times New Roman" w:eastAsia="Times New Roman" w:hAnsi="Times New Roman"/>
          <w:sz w:val="18"/>
          <w:szCs w:val="18"/>
          <w:color w:val="auto"/>
        </w:rPr>
        <w:t>” means the Loan Parties’ drug target or therapeutic discovery business.</w:t>
      </w:r>
    </w:p>
    <w:p>
      <w:pPr>
        <w:spacing w:after="0" w:line="160" w:lineRule="exact"/>
        <w:rPr>
          <w:sz w:val="20"/>
          <w:szCs w:val="20"/>
          <w:color w:val="auto"/>
        </w:rPr>
      </w:pPr>
    </w:p>
    <w:p>
      <w:pPr>
        <w:jc w:val="both"/>
        <w:ind w:left="8" w:firstLine="551"/>
        <w:spacing w:after="0" w:line="22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Caris Molecular Intelligence</w:t>
      </w:r>
      <w:r>
        <w:rPr>
          <w:rFonts w:ascii="Times New Roman" w:cs="Times New Roman" w:eastAsia="Times New Roman" w:hAnsi="Times New Roman"/>
          <w:sz w:val="18"/>
          <w:szCs w:val="18"/>
          <w:color w:val="auto"/>
        </w:rPr>
        <w:t>” means the Loan Parties’ profiling business operated under the current names MI Cancer Seek, MI Tumor Seek Hybrid (or variations thereof), MI Profile, Caris Assure and Caris Detect, and any future name, which relates to: (i) the profiling of patient samples (whether tissue or blood), including but not limited to immunohistochemistry, in situ hybridization, next-generation sequencing of DNA and/or RNA,</w:t>
      </w:r>
    </w:p>
    <w:p>
      <w:pPr>
        <w:spacing w:after="0" w:line="2" w:lineRule="exact"/>
        <w:rPr>
          <w:sz w:val="20"/>
          <w:szCs w:val="20"/>
          <w:color w:val="auto"/>
        </w:rPr>
      </w:pPr>
    </w:p>
    <w:p>
      <w:pPr>
        <w:ind w:left="8" w:right="20" w:hanging="8"/>
        <w:spacing w:after="0" w:line="233" w:lineRule="auto"/>
        <w:tabs>
          <w:tab w:leader="none" w:pos="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and performance of bioinformatics, and any other analysis (including FOLFIRSTai, and GPSai) related to tumors and (iii) reporting, consultations, treatment recommendations (including companion diagnostics) or other end product related tumor profiling and the analysis therein.</w:t>
      </w:r>
    </w:p>
    <w:p>
      <w:pPr>
        <w:spacing w:after="0" w:line="129" w:lineRule="exact"/>
        <w:rPr>
          <w:sz w:val="20"/>
          <w:szCs w:val="20"/>
          <w:color w:val="auto"/>
        </w:rPr>
      </w:pPr>
    </w:p>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Caris Strategic Data</w:t>
      </w:r>
      <w:r>
        <w:rPr>
          <w:rFonts w:ascii="Times New Roman" w:cs="Times New Roman" w:eastAsia="Times New Roman" w:hAnsi="Times New Roman"/>
          <w:sz w:val="18"/>
          <w:szCs w:val="18"/>
          <w:color w:val="auto"/>
        </w:rPr>
        <w:t>” means the Loan Parties’ data platform and business relating to molecular and clinical outcomes data and molecular signatures.</w:t>
      </w:r>
    </w:p>
    <w:p>
      <w:pPr>
        <w:spacing w:after="0" w:line="12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money, currency or a credit balance in any demand or Deposit Account.</w:t>
      </w:r>
    </w:p>
    <w:p>
      <w:pPr>
        <w:spacing w:after="0" w:line="160" w:lineRule="exact"/>
        <w:rPr>
          <w:sz w:val="20"/>
          <w:szCs w:val="20"/>
          <w:color w:val="auto"/>
        </w:rPr>
      </w:pPr>
    </w:p>
    <w:p>
      <w:pPr>
        <w:jc w:val="both"/>
        <w:ind w:left="8"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68"/>
          </w:cols>
          <w:pgMar w:left="312" w:top="1207" w:right="319" w:bottom="1440" w:gutter="0" w:footer="0" w:header="0"/>
        </w:sectPr>
      </w:pPr>
    </w:p>
    <w:bookmarkStart w:id="58" w:name="page59"/>
    <w:bookmarkEnd w:id="58"/>
    <w:p>
      <w:pPr>
        <w:jc w:val="both"/>
        <w:spacing w:after="0" w:line="226" w:lineRule="auto"/>
        <w:rPr>
          <w:sz w:val="20"/>
          <w:szCs w:val="20"/>
          <w:color w:val="auto"/>
        </w:rPr>
      </w:pPr>
      <w:r>
        <w:rPr>
          <w:rFonts w:ascii="Times New Roman" w:cs="Times New Roman" w:eastAsia="Times New Roman" w:hAnsi="Times New Roman"/>
          <w:sz w:val="18"/>
          <w:szCs w:val="18"/>
          <w:color w:val="auto"/>
        </w:rPr>
        <w:t>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clauses (a) and (b) above, (ii) has net assets of not less than $500,000,000, and (iii) has the highest rating obtainable from either S&amp;P or Moody’s.</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Internal Revenue Code.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at any time, any of the following occurrences:</w:t>
      </w:r>
    </w:p>
    <w:p>
      <w:pPr>
        <w:spacing w:after="0" w:line="160" w:lineRule="exact"/>
        <w:rPr>
          <w:sz w:val="20"/>
          <w:szCs w:val="20"/>
          <w:color w:val="auto"/>
        </w:rPr>
      </w:pPr>
    </w:p>
    <w:p>
      <w:pPr>
        <w:jc w:val="both"/>
        <w:ind w:firstLine="543"/>
        <w:spacing w:after="0" w:line="222" w:lineRule="auto"/>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“group” (within the meaning of Rules 13d-3 and 13d-5 under the Exchange Act) other than the Permitted Holders (i) shall have acquired beneficial ownership of 35% or more on a fully diluted basis of the voting or economic interest in the securities or Capital Stock of Borrower or (ii) shall have obtained the power (whether or not exercised) to elect a majority of the members of the Board of Directors (or similar governing body)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spacing w:after="0" w:line="129" w:lineRule="exact"/>
        <w:rPr>
          <w:rFonts w:ascii="Times New Roman" w:cs="Times New Roman" w:eastAsia="Times New Roman" w:hAnsi="Times New Roman"/>
          <w:sz w:val="18"/>
          <w:szCs w:val="18"/>
          <w:color w:val="auto"/>
        </w:rPr>
      </w:pPr>
    </w:p>
    <w:p>
      <w:pPr>
        <w:jc w:val="both"/>
        <w:ind w:firstLine="543"/>
        <w:spacing w:after="0" w:line="229" w:lineRule="auto"/>
        <w:tabs>
          <w:tab w:leader="none" w:pos="10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“fundamental change” or similar event shall occur under, and as defined in or set forth in the documents evidencing or governing the Capital Stock of Borrower, any agreement evidencing any Royalty Monetization Transaction, any Permitted Convertible Indebtedness or any other Indebtedness, in an aggregate outstanding principal amount of $[***] or more of Borrower or any of its Subsidiaries, in each case to the extent any repayment or payment obligation would result in connection with the occurrence of such event; or</w:t>
      </w:r>
    </w:p>
    <w:p>
      <w:pPr>
        <w:spacing w:after="0" w:line="128" w:lineRule="exact"/>
        <w:rPr>
          <w:rFonts w:ascii="Times New Roman" w:cs="Times New Roman" w:eastAsia="Times New Roman" w:hAnsi="Times New Roman"/>
          <w:sz w:val="18"/>
          <w:szCs w:val="18"/>
          <w:color w:val="auto"/>
        </w:rPr>
      </w:pPr>
    </w:p>
    <w:p>
      <w:pPr>
        <w:ind w:firstLine="543"/>
        <w:spacing w:after="0" w:line="250" w:lineRule="auto"/>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 transaction permitted pursuant to this Agreement, Borrower shall cease to directly or indirectly beneficially own and control 100% on a fully diluted basis of the economic and voting interest in the Capital Stock of each other Loan Party.</w:t>
      </w:r>
    </w:p>
    <w:p>
      <w:pPr>
        <w:spacing w:after="0" w:line="12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CLIA</w:t>
      </w:r>
      <w:r>
        <w:rPr>
          <w:rFonts w:ascii="Times New Roman" w:cs="Times New Roman" w:eastAsia="Times New Roman" w:hAnsi="Times New Roman"/>
          <w:sz w:val="18"/>
          <w:szCs w:val="18"/>
          <w:color w:val="auto"/>
        </w:rPr>
        <w:t>” means the Clinical Laboratory Improvement Amendments of 1988 (42 U.S.C. § 263a, et. seq.), together with implementing regulations (42 C.F.R. Part 493) and interpretative guidelines issued by CMS.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this Agreement becomes effective, which is April 1, 2026.</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xml:space="preserve">” means a Closing Date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Refinancing</w:t>
      </w:r>
      <w:r>
        <w:rPr>
          <w:rFonts w:ascii="Times New Roman" w:cs="Times New Roman" w:eastAsia="Times New Roman" w:hAnsi="Times New Roman"/>
          <w:sz w:val="18"/>
          <w:szCs w:val="18"/>
          <w:color w:val="auto"/>
        </w:rPr>
        <w:t>” means the repayment of all outstanding Indebtedness under that certain Credit Agreement, dated as of January 18, 2023, by and among the Borrower, the lenders from time to time thereto and Wilmington Trust, National Association, as administrative agent, as amended, and the termination of all guarantees, Liens and other security interests granted thereunder.</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means the U.S. Centers for Medicare and Medicaid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60"/>
          </w:cols>
          <w:pgMar w:left="320" w:top="1207" w:right="319" w:bottom="1440" w:gutter="0" w:footer="0" w:header="0"/>
        </w:sectPr>
      </w:pPr>
    </w:p>
    <w:bookmarkStart w:id="59" w:name="page60"/>
    <w:bookmarkEnd w:id="59"/>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 For the avoidance of doubt,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not exclude any Excluded Assets (as defined in the Pledge and Security Agreement).</w:t>
      </w:r>
    </w:p>
    <w:p>
      <w:pPr>
        <w:spacing w:after="0" w:line="129"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a customary landlord waiver in form and substance reasonably acceptable to [***] the Administrative Agent and the Required Lenders, between the Administrative Agent and any third party landlord [***] (and acknowledged by the Borrower or an applicable Subsidiary).</w:t>
      </w:r>
    </w:p>
    <w:p>
      <w:pPr>
        <w:spacing w:after="0" w:line="129"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Pledge and Security Agreement, any Control Agreement, any Mortgages, any Collateral Access Agreement,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Borrower’s common stock.</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Competitor</w:t>
      </w:r>
      <w:r>
        <w:rPr>
          <w:rFonts w:ascii="Times New Roman" w:cs="Times New Roman" w:eastAsia="Times New Roman" w:hAnsi="Times New Roman"/>
          <w:sz w:val="18"/>
          <w:szCs w:val="18"/>
          <w:color w:val="auto"/>
        </w:rPr>
        <w:t>” means [***].</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Business Information</w:t>
      </w:r>
      <w:r>
        <w:rPr>
          <w:rFonts w:ascii="Times New Roman" w:cs="Times New Roman" w:eastAsia="Times New Roman" w:hAnsi="Times New Roman"/>
          <w:sz w:val="18"/>
          <w:szCs w:val="18"/>
          <w:color w:val="auto"/>
        </w:rPr>
        <w:t>” means, whether patentable or unpatentable and whether or not reduced to practice, confidential business information, including trade secrets, proprietary information, technical data, laboratory notebooks, clinical data, know-how, inventions, manufacturing processes and techniques, financial, marketing and business data, pricing and cost information, business, finance and marketing plans, customer and prospective customer lists and information, and supplier and prospective supplier lists and information, research and development information, data and other information included in or supporting Regulatory Authorizations.</w:t>
      </w:r>
    </w:p>
    <w:p>
      <w:pPr>
        <w:spacing w:after="0" w:line="128"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w:t>
      </w:r>
      <w:r>
        <w:rPr>
          <w:rFonts w:ascii="Times New Roman" w:cs="Times New Roman" w:eastAsia="Times New Roman" w:hAnsi="Times New Roman"/>
          <w:sz w:val="18"/>
          <w:szCs w:val="18"/>
          <w:u w:val="single" w:color="auto"/>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the definition of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the definition of “</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the definition of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 xml:space="preserve"> and other technical, administrative or operational matters) that Administrative Agent, in consultation with Borrower, decides may be appropriate to reflect the adoption and implementation of any such rate or to permit the use and administration thereof by Administrative Agent in a manner substantially consistent with market practice (or, if Administrative Agent, in consultation with Borrower, decides that adoption of any portion of such market practice is not administratively feasible or if Administrative Agent, in consultation with Borrower, determines that no market practice for the administration of any such rate exists, in such other manner of administration as Administrative Agent, in consultation with Borrower,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60"/>
          </w:cols>
          <w:pgMar w:left="320" w:top="1207" w:right="319" w:bottom="1440" w:gutter="0" w:footer="0" w:header="0"/>
        </w:sectPr>
      </w:pPr>
    </w:p>
    <w:bookmarkStart w:id="60" w:name="page61"/>
    <w:bookmarkEnd w:id="60"/>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total assets of the Loan Parties and their Subsidiaries calculated in accordance with GAAP on a consolidated basis.</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correlatives) by any Person means the power of such Person, directly or indirectly, to direct or cause the direction of the management and policies of such other Person (whether by contract or otherwise).</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a control agreement, in form and substance reasonably satisfactory to Administrative Agent and the Required Lenders, executed and delivered by the applicable Loan Party, Administrative Agent, and the applicable securities intermediary (with respect to a Securities Account) or bank (with respect to a Deposit Account).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Date</w:t>
      </w:r>
      <w:r>
        <w:rPr>
          <w:rFonts w:ascii="Times New Roman" w:cs="Times New Roman" w:eastAsia="Times New Roman" w:hAnsi="Times New Roman"/>
          <w:sz w:val="18"/>
          <w:szCs w:val="18"/>
          <w:color w:val="auto"/>
        </w:rPr>
        <w:t>” means the effective date of a continuation or conversion, as the case may be, as set forth in the applicable Conversion/Continuation Notice.</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means a Conversion/Continuation Notice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all registered and unregistered copyrights, whether statutory or common law, along with any and all (i) renewals, revisions, extensions, derivative works, enhancements, modifications, updates and new releases thereof, (ii) rights in works of authorship, including all rights of authorship of any type and in all forms of media, use, publication, reproduction, distribution, performance, preparation of derivative works, transformation, moral and economic rights of authors, design rights and registered designs and (iii) foreign copyrights and any other rights corresponding thereto throughout the world.</w:t>
      </w:r>
    </w:p>
    <w:p>
      <w:pPr>
        <w:spacing w:after="0" w:line="128"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Core Asset</w:t>
      </w:r>
      <w:r>
        <w:rPr>
          <w:rFonts w:ascii="Times New Roman" w:cs="Times New Roman" w:eastAsia="Times New Roman" w:hAnsi="Times New Roman"/>
          <w:sz w:val="18"/>
          <w:szCs w:val="18"/>
          <w:color w:val="auto"/>
        </w:rPr>
        <w:t>” means all rights, interest and title of the Borrower and its Subsidiaries in any Intellectual Property Rights or other proprietary products, services, data or processes that directly relate to Caris Molecular Intelligence or Caris Strategic Data.</w:t>
      </w:r>
    </w:p>
    <w:p>
      <w:pPr>
        <w:spacing w:after="0" w:line="12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delivered by a Loan Party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has the same meaning as the term “covered entity” in 45 C.F.R. § 160.103.</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Date</w:t>
      </w:r>
      <w:r>
        <w:rPr>
          <w:rFonts w:ascii="Times New Roman" w:cs="Times New Roman" w:eastAsia="Times New Roman" w:hAnsi="Times New Roman"/>
          <w:sz w:val="18"/>
          <w:szCs w:val="18"/>
          <w:color w:val="auto"/>
        </w:rPr>
        <w:t>” means the date of a Credit Extension.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the making of a Loan.</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 or any Subsidiary’s products and the visitors to websites owned or controlled by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260"/>
          </w:cols>
          <w:pgMar w:left="320" w:top="1207" w:right="319" w:bottom="1440" w:gutter="0" w:footer="0" w:header="0"/>
        </w:sectPr>
      </w:pPr>
    </w:p>
    <w:bookmarkStart w:id="61" w:name="page62"/>
    <w:bookmarkEnd w:id="61"/>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Processors</w:t>
      </w:r>
      <w:r>
        <w:rPr>
          <w:rFonts w:ascii="Times New Roman" w:cs="Times New Roman" w:eastAsia="Times New Roman" w:hAnsi="Times New Roman"/>
          <w:sz w:val="18"/>
          <w:szCs w:val="18"/>
          <w:color w:val="auto"/>
        </w:rPr>
        <w:t xml:space="preserve"> ” means any Third Party service providers, software developers, outsourcers, or others to which Borrower or its Subsidiaries engage and allow access to Personal Data or IT Assets (solely with respect to all Personal Data stored or contained therein or transmitted thereby) or that collect or process Personal Data on behalf of the Borrower or any Subsidiary.</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w:t>
      </w:r>
      <w:r>
        <w:rPr>
          <w:rFonts w:ascii="Times New Roman" w:cs="Times New Roman" w:eastAsia="Times New Roman" w:hAnsi="Times New Roman"/>
          <w:sz w:val="18"/>
          <w:szCs w:val="18"/>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 condition or event that, after notice or lapse of time or both, would constitute an Event of Default.</w:t>
      </w:r>
    </w:p>
    <w:p>
      <w:pPr>
        <w:spacing w:after="0" w:line="16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Availability Period</w:t>
      </w:r>
      <w:r>
        <w:rPr>
          <w:rFonts w:ascii="Times New Roman" w:cs="Times New Roman" w:eastAsia="Times New Roman" w:hAnsi="Times New Roman"/>
          <w:sz w:val="18"/>
          <w:szCs w:val="18"/>
          <w:color w:val="auto"/>
        </w:rPr>
        <w:t xml:space="preserve">” means the period commencing the day after the Closing Date and ending on the earlier to occur of (i) the date that is sixteen (16) months after the Closing Date (or if such day is not a Business Day, the preceding Business Day) and (ii) the date on which the aggregate amount of all Delayed Draw Term Loan Commitments shall have been terminated pursuant to </w:t>
      </w:r>
      <w:r>
        <w:rPr>
          <w:rFonts w:ascii="Times New Roman" w:cs="Times New Roman" w:eastAsia="Times New Roman" w:hAnsi="Times New Roman"/>
          <w:sz w:val="18"/>
          <w:szCs w:val="18"/>
          <w:u w:val="single" w:color="auto"/>
          <w:color w:val="auto"/>
        </w:rPr>
        <w:t>Section 2.9(c)</w:t>
      </w:r>
      <w:r>
        <w:rPr>
          <w:rFonts w:ascii="Times New Roman" w:cs="Times New Roman" w:eastAsia="Times New Roman" w:hAnsi="Times New Roman"/>
          <w:sz w:val="18"/>
          <w:szCs w:val="18"/>
          <w:color w:val="auto"/>
        </w:rPr>
        <w:t xml:space="preserve"> or otherwise reduced to zero in accordance with the terms hereof.</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w:t>
      </w:r>
      <w:r>
        <w:rPr>
          <w:rFonts w:ascii="Times New Roman" w:cs="Times New Roman" w:eastAsia="Times New Roman" w:hAnsi="Times New Roman"/>
          <w:sz w:val="18"/>
          <w:szCs w:val="18"/>
          <w:color w:val="auto"/>
        </w:rPr>
        <w:t xml:space="preserve">” means any Term Loan funded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 Term Loan Commitment</w:t>
      </w:r>
      <w:r>
        <w:rPr>
          <w:rFonts w:ascii="Times New Roman" w:cs="Times New Roman" w:eastAsia="Times New Roman" w:hAnsi="Times New Roman"/>
          <w:sz w:val="18"/>
          <w:szCs w:val="18"/>
          <w:color w:val="auto"/>
        </w:rPr>
        <w:t>” means the commitment of a Lender to make or otherwise fund the Delayed Draw Term Loans, and “</w:t>
      </w:r>
      <w:r>
        <w:rPr>
          <w:rFonts w:ascii="Times New Roman" w:cs="Times New Roman" w:eastAsia="Times New Roman" w:hAnsi="Times New Roman"/>
          <w:sz w:val="18"/>
          <w:szCs w:val="18"/>
          <w:u w:val="single" w:color="auto"/>
          <w:color w:val="auto"/>
        </w:rPr>
        <w:t>Delayed Draw Term Loan Commitments</w:t>
      </w:r>
      <w:r>
        <w:rPr>
          <w:rFonts w:ascii="Times New Roman" w:cs="Times New Roman" w:eastAsia="Times New Roman" w:hAnsi="Times New Roman"/>
          <w:sz w:val="18"/>
          <w:szCs w:val="18"/>
          <w:color w:val="auto"/>
        </w:rPr>
        <w:t xml:space="preserve">” means such commitments of all such Lenders in the aggregate. The amount of each Lender’s Delayed Draw Term Loan Commitment, if any, is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 aggregate amount of the Delayed Draw Term Loan Commitments as of the Closing Date is $300,000,000.</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Excess</w:t>
      </w:r>
      <w:r>
        <w:rPr>
          <w:rFonts w:ascii="Times New Roman" w:cs="Times New Roman" w:eastAsia="Times New Roman" w:hAnsi="Times New Roman"/>
          <w:sz w:val="18"/>
          <w:szCs w:val="18"/>
          <w:color w:val="auto"/>
        </w:rPr>
        <w:t>” means, with respect to any Defaulting Lender, the excess, if any, of such Defaulting Lender’s Pro Rata Share of the aggregate outstanding principal amount of Term Loans of all Lenders (calculated as if all Defaulting Lenders (other than such Defaulting Lender) had funded all of their respective Defaulted Loans) over the aggregate outstanding principal amount of all Term Loans of such Defaulting Lender.</w:t>
      </w:r>
    </w:p>
    <w:p>
      <w:pPr>
        <w:spacing w:after="0" w:line="129"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Period</w:t>
      </w:r>
      <w:r>
        <w:rPr>
          <w:rFonts w:ascii="Times New Roman" w:cs="Times New Roman" w:eastAsia="Times New Roman" w:hAnsi="Times New Roman"/>
          <w:sz w:val="18"/>
          <w:szCs w:val="18"/>
          <w:color w:val="auto"/>
        </w:rPr>
        <w:t xml:space="preserve">” means, with respect to any Defaulting Lender, the period commencing on the date of the applicable Funding Default, as applicable, and ending on the earliest of the following dates: (a) the date on which all Term Loan Commitments are cancelled or terminated or the Obligations are declared or become immediately due and payable, (b) the date on which (i) 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by a combination thereof), and (ii) such Defaulting Lender shall have delivered to Borrower and Administrative Agent a written reaffirmation of its intention to honor its obligations hereunder with respect to its Term Loan Commitments, and (c) the date on which Borrower, Administrative Agent and Required Lenders waive all Funding Defaults of such Defaulting Lender in writing.</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any interest payable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260"/>
          </w:cols>
          <w:pgMar w:left="320" w:top="1207" w:right="319" w:bottom="1440" w:gutter="0" w:footer="0" w:header="0"/>
        </w:sectPr>
      </w:pPr>
    </w:p>
    <w:bookmarkStart w:id="62" w:name="page63"/>
    <w:bookmarkEnd w:id="62"/>
    <w:p>
      <w:pPr>
        <w:jc w:val="both"/>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2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551"/>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Capital Stock that would constitute Disqualified Capital Stock,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prior to the date that is [***] after the Latest Maturity Date and other than solely for Qualified Capital Stock or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Term Loan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Disqualified Capital Stock shall exclude Permitted Equity Derivatives.</w:t>
      </w:r>
    </w:p>
    <w:p>
      <w:pPr>
        <w:spacing w:after="0" w:line="12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 of America.</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the Borrower that is not a Foreign Subsidiary.</w:t>
      </w:r>
    </w:p>
    <w:p>
      <w:pPr>
        <w:spacing w:after="0" w:line="160" w:lineRule="exact"/>
        <w:rPr>
          <w:sz w:val="20"/>
          <w:szCs w:val="20"/>
          <w:color w:val="auto"/>
        </w:rPr>
      </w:pPr>
    </w:p>
    <w:p>
      <w:pPr>
        <w:jc w:val="both"/>
        <w:ind w:left="8" w:right="20" w:firstLine="551"/>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spacing w:after="0" w:line="1" w:lineRule="exact"/>
        <w:rPr>
          <w:sz w:val="20"/>
          <w:szCs w:val="20"/>
          <w:color w:val="auto"/>
        </w:rPr>
      </w:pPr>
    </w:p>
    <w:p>
      <w:pPr>
        <w:ind w:left="8" w:right="20" w:hanging="8"/>
        <w:spacing w:after="0" w:line="233" w:lineRule="auto"/>
        <w:tabs>
          <w:tab w:leader="none" w:pos="2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that is a subsidiary of an institution described in clauses (a) or (b) of this definition and is subject to consolidated supervision with its parent.</w:t>
      </w:r>
    </w:p>
    <w:p>
      <w:pPr>
        <w:spacing w:after="0" w:line="12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60" w:lineRule="exact"/>
        <w:rPr>
          <w:sz w:val="20"/>
          <w:szCs w:val="20"/>
          <w:color w:val="auto"/>
        </w:rPr>
      </w:pPr>
    </w:p>
    <w:p>
      <w:pPr>
        <w:jc w:val="both"/>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0" w:lineRule="exact"/>
        <w:rPr>
          <w:sz w:val="20"/>
          <w:szCs w:val="20"/>
          <w:color w:val="auto"/>
        </w:rPr>
      </w:pPr>
    </w:p>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 any Lender, any Affiliate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and (c) any other Person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268"/>
          </w:cols>
          <w:pgMar w:left="312" w:top="1207"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xml:space="preserve">natural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Borrower nor any Affiliate of Borrower shall, in any event, be an Eligible Assignee.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 or any successor agency thereto.</w:t>
      </w:r>
    </w:p>
    <w:p>
      <w:pPr>
        <w:spacing w:after="0" w:line="16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benefit plan” as defined in Section 3(3) of ERISA that is or was sponsored, maintained or contributed to by, or required to be contributed by, Borrower, any of its Subsidiaries or any of their respective ERISA Affiliates.</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means the Caris Life Sciences, Inc. 2025 Employee Stock Purchase Plan, as amended and restated, as in effect on the Closing Date, and as amended, modified, restated, supplemented or replaced in any manner that is not materially adverse to the interest of the Administrative Agent or the Lenders, or on such other terms as are acceptable to Administrative Agent and Required Lenders.</w:t>
      </w:r>
    </w:p>
    <w:p>
      <w:pPr>
        <w:spacing w:after="0" w:line="129"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complaint, summons, citation, investigation, notice, directive, notice of violation, order, claim, demand, action, litigation, judicial or administrative proceeding, judgment, letter or other communication from any Governmental Authority or any other Person, involving (a) 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that received Hazardous Materials generated by any Loan Party or any of its Subsidiaries or any predecessor in interest.</w:t>
      </w:r>
    </w:p>
    <w:p>
      <w:pPr>
        <w:spacing w:after="0" w:line="129"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28" w:lineRule="exact"/>
        <w:rPr>
          <w:sz w:val="20"/>
          <w:szCs w:val="20"/>
          <w:color w:val="auto"/>
        </w:rPr>
      </w:pPr>
    </w:p>
    <w:p>
      <w:pPr>
        <w:jc w:val="both"/>
        <w:ind w:firstLine="551"/>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 and Costs</w:t>
      </w:r>
      <w:r>
        <w:rPr>
          <w:rFonts w:ascii="Times New Roman" w:cs="Times New Roman" w:eastAsia="Times New Roman" w:hAnsi="Times New Roman"/>
          <w:sz w:val="18"/>
          <w:szCs w:val="18"/>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any Lien in favor of any Governmental Authority for Environmental Liabilities and Costs.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as applied to any Person, (a) any corporation that is a member of a controlled group of corporations within the meaning of Section 414(b)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260"/>
          </w:cols>
          <w:pgMar w:left="320" w:top="1207" w:right="319" w:bottom="1440" w:gutter="0" w:footer="0" w:header="0"/>
        </w:sectPr>
      </w:pPr>
    </w:p>
    <w:bookmarkStart w:id="64" w:name="page65"/>
    <w:bookmarkEnd w:id="64"/>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Revenue Code of which that Person is a member; (b) any trade or business (whether or not incorporated) that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any trade or business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would be liable under the Internal Revenue Code or ERISA.</w:t>
      </w:r>
    </w:p>
    <w:p>
      <w:pPr>
        <w:spacing w:after="0" w:line="130"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within the meaning of Section 4043 of ERISA and the regulations issued thereunder with respect to any Pension Plan (excluding those for which the provision for thirty (30) day notice to the PBGC has been waived by regulation); (b) the failure to meet the minimum funding standard Section 412 or 430 of the Code with respect to any Pension Plan or the failure to make any required contribution (including any installment) to a Multiemployer Plan; (c) the provision by the administrator of any Pension Plan pursuant to Section 4041(a)(2) of ERISA of a notice of intent to terminate such plan in a distress termination described in Section 4041(c) of ERISA; (d) the withdrawal by any Loan Party or any ERISA Affiliate from any Pension Plan with two or more contributing sponsors or the termination of any such Pension Plan resulting in liability to the Borrower, any of its Subsidiaries or any of their respective ERISA Affiliates pursuant to Section 4063 or 4064 of ERISA; (e) the institution by the PBGC of proceedings to terminate any Pension Plan, or the appointment of a trustee to administer any Pension Plan; (f) the imposition of liability on the Borrower, any of its Subsidiaries or any of their respective ERISA Affiliates pursuant to Section 4062(e) or 4069 of ERISA or by application of Section 4212(c) of ERISA; (g) the withdrawal of any ERISA Affiliate in a complete or partial withdrawal (within the meaning of Sections 4203 and 4205 of ERISA) from any Multiemployer Plan; or (h) the imposition of a Lien pursuant to the Code or ERISA on any Loan Party or its Subsidiaries with respect to any Pension Plan or Multiemployer Plan.</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specified in Section 9.12(d).</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each of the conditions or events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60"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means Deposit Accounts, (a) the balance of which consists exclusively of withheld income taxes and foreign, federal, state or local employment or payroll taxes in such amounts as are required to be paid to the Internal Revenue Service or any other government agencies, (b) used exclusively for payroll to or for the benefit of employees of Borrower or any of its Subsidiaries in such amounts as are required to be paid to such employees within the immediately succeeding two payroll cycles, (c) that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all segregated Deposit Accounts constituting (and the balance of which consists solely of funds set aside in connection with) fiduciary accounts, escrow accounts and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260"/>
          </w:cols>
          <w:pgMar w:left="320" w:top="1207" w:right="319" w:bottom="1440" w:gutter="0" w:footer="0" w:header="0"/>
        </w:sectPr>
      </w:pPr>
    </w:p>
    <w:bookmarkStart w:id="65" w:name="page66"/>
    <w:bookmarkEnd w:id="65"/>
    <w:p>
      <w:pPr>
        <w:ind w:left="8"/>
        <w:spacing w:after="0"/>
        <w:rPr>
          <w:sz w:val="20"/>
          <w:szCs w:val="20"/>
          <w:color w:val="auto"/>
        </w:rPr>
      </w:pPr>
      <w:r>
        <w:rPr>
          <w:rFonts w:ascii="Times New Roman" w:cs="Times New Roman" w:eastAsia="Times New Roman" w:hAnsi="Times New Roman"/>
          <w:sz w:val="18"/>
          <w:szCs w:val="18"/>
          <w:color w:val="auto"/>
        </w:rPr>
        <w:t>accounts, (e) any other Deposit Accounts that have amounts on deposit that do not exceed $[***] individually or $[***] in the aggregate at any one time,</w:t>
      </w:r>
    </w:p>
    <w:p>
      <w:pPr>
        <w:jc w:val="both"/>
        <w:ind w:left="8" w:hanging="8"/>
        <w:spacing w:after="0" w:line="221" w:lineRule="auto"/>
        <w:tabs>
          <w:tab w:leader="none" w:pos="2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are exclusively holding cash collateral or other deposits constituting Liens permitted by </w:t>
      </w:r>
      <w:r>
        <w:rPr>
          <w:rFonts w:ascii="Times New Roman" w:cs="Times New Roman" w:eastAsia="Times New Roman" w:hAnsi="Times New Roman"/>
          <w:sz w:val="18"/>
          <w:szCs w:val="18"/>
          <w:u w:val="single" w:color="auto"/>
          <w:color w:val="auto"/>
        </w:rPr>
        <w:t>clauses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of Permitted Liens, and (g) consisting of zero balance accounts so long as the balance in such account is zero at the end of each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account excluded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shall remain a zero balance account during the term of this Agreement and shall be subject to a sweep agreement reasonably satisfactory to the Administrative Agent, and the Borrower shall use commercially reasonable efforts to require that the depositary bank thereunder provide [***] written prior notice to the Administrative Agent of any change to the terms of the daily sweep of such account.</w:t>
      </w:r>
    </w:p>
    <w:p>
      <w:pPr>
        <w:spacing w:after="0" w:line="129" w:lineRule="exact"/>
        <w:rPr>
          <w:sz w:val="20"/>
          <w:szCs w:val="20"/>
          <w:color w:val="auto"/>
        </w:rPr>
      </w:pPr>
    </w:p>
    <w:p>
      <w:pPr>
        <w:jc w:val="both"/>
        <w:ind w:left="8" w:firstLine="551"/>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not-for-profit Subsidiary (which as of the Closing Date shall include, for the avoidance of doubt, Caris Molecular Pathology, a Texas not-for-profit corporation), (b) any captive insurance entity, (c) any merger Subsidiary formed in connection with a Permitted Acquisition so long as such merger Subsidiary is merged out of existence pursuant to such Permitted Acquisition or dissolved within [***] of its formation thereof or such later date as permitted by Administrative Agent in its reasonable discretion, (d) any Immaterial Subsidiary, (e) any Subsidiary that is prohibited or restricted by any Requirement of Law or by contractual obligations (or, in the case of a non-wholly owned Subsidiary, by its Organizational Documents) existing on the Closing Date (or, in the case of any Subsidiary acquired after the Closing Date, in existence at the time of acquisition but not entered into in contemplation hereof and only for so long as such prohibition or contractual obligation remains in effect) from guaranteeing the Obligations and (f) (A) any Foreign Subsidiary or Foreign Subsidiary Holding Company that: (i) does not hold any exclusive right, title or interest in any Core Asset or other Material Intellectual Property, (ii) does not hold or maintain any material Regulatory Authorization, whether now in effect or hereafter issued by any Regulatory Agency, including any Key Permits, (iii) is not party to any Material Contract, other than ordinary course contracts or agreements (including leases of or licenses to use real property) that are not material to the business of Borrower and the Guarantors (taken as a whole), (iv) does not, individually or together with all Excluded Subsidiaries except for Excluded Subsidiaries excluded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have cash or Cash Equivalent Investments exceeding $[***] in the aggregate at any time, (v) contributed [***]% or less of the total Revenues of Borrower and its Subsidiaries, for the period of two consecutive Fiscal Quarters ended on the Test Date and, together with all other Excluded Subsidiaries except for Excluded Subsidiaries excluded pursuant to clause (a) of this definition, contributed [***]% or less of the Revenue for such period, and (vi) contributed less than [***]% or less of the Consolidated Total Assets of the Borrower and its Subsidiaries on the applicable Test Date, and together with all other Excluded Subsidiaries except for Excluded Subsidiaries excluded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contributed less than [***]% or less of the Consolidated Total Assets of the Borrower and its Subsidiaries on the applicable Test Date, (B) any other Foreign Subsidiary or Foreign Subsidiary Holding Company if the Borrower in good faith after consulting with its tax or other relevant advisors and subject to the Required Lenders’ consent (not to be unreasonably withheld, conditioned or delayed) determines that the burden or cost (including any adverse tax consequences to the Borrower or any of its Subsidiaries, which are not de minimis) of providing a guarantee by such Foreign Subsidiary or Foreign Subsidiary Holding Company will outweigh the benefits to be obtained by the Lenders therefrom, including by taking into account the overall collateral package under the Loan Documents and the amount of the Loans. For the avoidance of doubt, no Subsidiary that (i) is party to any Royalty Monetization Transaction (other than any special purpose vehicle), (ii) holds any exclusive right, title or interest (including an exclusive license) in any Material Contracts, Core Assets or other Material Intellectual Property, (1) in each case of the foregoing, other than in the case of a Subsidiary referred to in clause (a) of this definition or (2) in the case of any Material Contracts, other than a Foreign Subsidiary or Foreign Subsidiary Holding Company to the extent contemplated by </w:t>
      </w:r>
      <w:r>
        <w:rPr>
          <w:rFonts w:ascii="Times New Roman" w:cs="Times New Roman" w:eastAsia="Times New Roman" w:hAnsi="Times New Roman"/>
          <w:sz w:val="18"/>
          <w:szCs w:val="18"/>
          <w:u w:val="single" w:color="auto"/>
          <w:color w:val="auto"/>
        </w:rPr>
        <w:t>clause (f)(A)(iii)</w:t>
      </w:r>
      <w:r>
        <w:rPr>
          <w:rFonts w:ascii="Times New Roman" w:cs="Times New Roman" w:eastAsia="Times New Roman" w:hAnsi="Times New Roman"/>
          <w:sz w:val="18"/>
          <w:szCs w:val="18"/>
          <w:color w:val="auto"/>
        </w:rPr>
        <w:t xml:space="preserve"> of this definition or (iii) is a direct or indirect parent of any Loan Party, shall be an “</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268"/>
          </w:cols>
          <w:pgMar w:left="312" w:top="1204" w:right="319" w:bottom="1440" w:gutter="0" w:footer="0" w:header="0"/>
        </w:sectPr>
      </w:pPr>
    </w:p>
    <w:bookmarkStart w:id="66" w:name="page67"/>
    <w:bookmarkEnd w:id="66"/>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hereunder pursuant to a law in effect on the date on which (i) such Lender acquires such interest in such commitment (or, in the case of Loan not funded by such Lender pursuant to a prior commitment, acquires such interest in such Loan),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such commitment or Loan (as applicable)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and (d) any withholding Taxes imposed under FATCA.</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any other individual having a relationship by blood (to the second degree of consanguinity), marriage, or adoption to such individual.</w:t>
      </w:r>
    </w:p>
    <w:p>
      <w:pPr>
        <w:spacing w:after="0" w:line="12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in effect as of the date of this Agreement (or any amended or successor version that is substantively comparable and not materially more onerous to comply with), and any current or future regulations or official interpretations thereof and any agreements entered into pursuant to current Section 1471(b)(1) of the Internal Revenue Code (or any amended or successor version described above) and any intergovernmental agreement, treaty or convention among Governmental Authorities (and any related laws, regulations or other official administrative guidance) implementing the foregoing.</w:t>
      </w:r>
    </w:p>
    <w:p>
      <w:pPr>
        <w:spacing w:after="0" w:line="128"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FD&amp;C Act</w:t>
      </w:r>
      <w:r>
        <w:rPr>
          <w:rFonts w:ascii="Times New Roman" w:cs="Times New Roman" w:eastAsia="Times New Roman" w:hAnsi="Times New Roman"/>
          <w:sz w:val="18"/>
          <w:szCs w:val="18"/>
          <w:color w:val="auto"/>
        </w:rPr>
        <w:t>” means the U.S. Federal Food, Drug, and Cosmetic Act, 21 U.S.C. Section 301 et. seq. (or any successor thereto), as amended from time to time, and regulations promulgated thereunder.</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such day is not a Business Day, the Federal Funds Rate for such day shall be such rate on such transactions on the next preceding Business Day as so published on the next succeeding Business Day.</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has the meaning as described at 42 U.S.C. § 1320a-7b(f).</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260"/>
          </w:cols>
          <w:pgMar w:left="320" w:top="1207" w:right="319" w:bottom="1440" w:gutter="0" w:footer="0" w:header="0"/>
        </w:sectPr>
      </w:pPr>
    </w:p>
    <w:bookmarkStart w:id="67" w:name="page68"/>
    <w:bookmarkEnd w:id="67"/>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such Lien is the only Lien to which such Collateral is subject, other than any Permitted Lien.</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any Fiscal Year.</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Borrower and its Subsidiaries ending on December 31 of each calendar year.</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Official</w:t>
      </w:r>
      <w:r>
        <w:rPr>
          <w:rFonts w:ascii="Times New Roman" w:cs="Times New Roman" w:eastAsia="Times New Roman" w:hAnsi="Times New Roman"/>
          <w:sz w:val="18"/>
          <w:szCs w:val="18"/>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Sovereign Immunities Act</w:t>
      </w:r>
      <w:r>
        <w:rPr>
          <w:rFonts w:ascii="Times New Roman" w:cs="Times New Roman" w:eastAsia="Times New Roman" w:hAnsi="Times New Roman"/>
          <w:sz w:val="18"/>
          <w:szCs w:val="18"/>
          <w:color w:val="auto"/>
        </w:rPr>
        <w:t>” means the US Foreign Sovereign Immunities Act of 1976 (28 U.S.C. Sections 1602-1611).</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 Subsidiary of the Borrower that is not organized under the laws of the United States, any state thereof, or the District of Columbia.</w:t>
      </w:r>
    </w:p>
    <w:p>
      <w:pPr>
        <w:spacing w:after="0" w:line="12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any Subsidiary that is not a Foreign Subsidiary, and that owns (directly or through one or more entities that are disregarded for U.S. federal income tax purposes) no material assets other than equity interests (and/or indebtedness) of: (x) one or more Foreign Subsidiaries that are CFCs and/or (y) one or more entities that would be treated as Foreign Subsidiary Holding Companies.</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xml:space="preserve">” means a written notice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subject to the limitations on the application thereof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United States generally accepted accounting principles in effect as of the date of determination thereof.</w:t>
      </w:r>
    </w:p>
    <w:p>
      <w:pPr>
        <w:spacing w:after="0" w:line="12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GCP</w:t>
      </w:r>
      <w:r>
        <w:rPr>
          <w:rFonts w:ascii="Times New Roman" w:cs="Times New Roman" w:eastAsia="Times New Roman" w:hAnsi="Times New Roman"/>
          <w:sz w:val="18"/>
          <w:szCs w:val="18"/>
          <w:color w:val="auto"/>
        </w:rPr>
        <w:t>” means the Good Clinical Practices that establish the national and international requirements for designing, conducting, recording and reporting a clinical trial that are enforced by the FDA (including 21 CFR Parts 50, 54, and 56) and by comparable foreign Governmental Authorities.</w:t>
      </w:r>
    </w:p>
    <w:p>
      <w:pPr>
        <w:spacing w:after="0" w:line="12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GLP</w:t>
      </w:r>
      <w:r>
        <w:rPr>
          <w:rFonts w:ascii="Times New Roman" w:cs="Times New Roman" w:eastAsia="Times New Roman" w:hAnsi="Times New Roman"/>
          <w:sz w:val="18"/>
          <w:szCs w:val="18"/>
          <w:color w:val="auto"/>
        </w:rPr>
        <w:t>” means the Good Laboratory Practices that establish the regulatory requirements for or concerning the conduct of nonclinical laboratory studies for products regulated by the FDA (including 21 CFR Part 58) and by comparable foreign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260"/>
          </w:cols>
          <w:pgMar w:left="320" w:top="1207" w:right="319" w:bottom="1440" w:gutter="0" w:footer="0" w:header="0"/>
        </w:sectPr>
      </w:pPr>
    </w:p>
    <w:bookmarkStart w:id="68" w:name="page69"/>
    <w:bookmarkEnd w:id="68"/>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municipal, national, supranational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patent office, in each case whether associated with a state of the United States, the United States or a foreign entity or government.</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license, authorization, clearance, approval, Registration, plan, directive, consent order or consent decree of or from any Governmental Authority.</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has the meaning specified in the Pledge and Security Agreement.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Subsidiary of Borrower and each other Person that guarantees,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all or any part of the Obligations. For the avoidance of doubt, no Excluded Subsidiary shall be required to become a Guarantor except at the election of Borrower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Subsidiary</w:t>
      </w:r>
      <w:r>
        <w:rPr>
          <w:rFonts w:ascii="Times New Roman" w:cs="Times New Roman" w:eastAsia="Times New Roman" w:hAnsi="Times New Roman"/>
          <w:sz w:val="18"/>
          <w:szCs w:val="18"/>
          <w:color w:val="auto"/>
        </w:rPr>
        <w:t>” means each Guarantor.</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(a) the guaranty of each Guarantor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(b) each other guaranty, in form and substance satisfactory to Administrative Agent, made by any other Guarantor for the benefit of the Secured Parties guaranteeing all or part of the Obligations.</w:t>
      </w:r>
    </w:p>
    <w:p>
      <w:pPr>
        <w:spacing w:after="0" w:line="12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158"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29"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collectively, (a) Title XVIII of the Social Security Act, 42 U.S.C. §§ 1395-1395hhh (the Medicare statute); (b) Title XIX of the Social Security Act, 42 U.S.C. §§ 1396-1396y (the Medicaid statute) and any other Requirement of Law pertaining to or governing a Federal Health Care Program; (c) all federal and state fraud and abuse and other healthcare Requirements of Law, including the Stark Law (42 U.S.C. §1395nn),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260"/>
          </w:cols>
          <w:pgMar w:left="320" w:top="1207" w:right="319" w:bottom="1440" w:gutter="0" w:footer="0" w:header="0"/>
        </w:sectPr>
      </w:pPr>
    </w:p>
    <w:bookmarkStart w:id="69" w:name="page70"/>
    <w:bookmarkEnd w:id="69"/>
    <w:p>
      <w:pPr>
        <w:jc w:val="both"/>
        <w:ind w:left="8"/>
        <w:spacing w:after="0" w:line="223" w:lineRule="auto"/>
        <w:rPr>
          <w:sz w:val="20"/>
          <w:szCs w:val="20"/>
          <w:color w:val="auto"/>
        </w:rPr>
      </w:pPr>
      <w:r>
        <w:rPr>
          <w:rFonts w:ascii="Times New Roman" w:cs="Times New Roman" w:eastAsia="Times New Roman" w:hAnsi="Times New Roman"/>
          <w:sz w:val="18"/>
          <w:szCs w:val="18"/>
          <w:color w:val="auto"/>
        </w:rPr>
        <w:t>Anti-Kickback Statute, 42 U.S.C. § 1320a-7b(b) and the Eliminating Kickbacks in Recovery Act (18 U.S.C. § 220); (d) the civil False Claims Act, 31 U.S.C. §§ 3729 et seq.; (e) the criminal False Claims Act, 42 U.S.C. § 1320a-7b(a); (f) criminal laws relating to health care fraud and abuse, including but not limited to 18 U.S.C. §§ 286, 287, 1035, 1347 and 1349; (g) the criminal fraud provisions under HIPAA; (h) the Civil Monetary Penalties law, 42 U.S.C. §§ 1320a-7a and 1320a-7b; (i) the U.S. Physician Payments Sunshine Act, 42 U.S.C. § 1320-7h; (j) the Exclusion Law, 42 U.S.C. § 1320a-7; (k) comparable state Requirements of Law and other Requirements of Law that directly or indirectly govern the distribution, sale, promotion, marketing and billing of any Product; and (l) each as amended and the regulations promulgated thereunder.</w:t>
      </w:r>
    </w:p>
    <w:p>
      <w:pPr>
        <w:spacing w:after="0" w:line="132" w:lineRule="exact"/>
        <w:rPr>
          <w:sz w:val="20"/>
          <w:szCs w:val="20"/>
          <w:color w:val="auto"/>
        </w:rPr>
      </w:pPr>
    </w:p>
    <w:p>
      <w:pPr>
        <w:jc w:val="both"/>
        <w:ind w:left="8" w:firstLine="551"/>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or foreign exchange rate swap agreement, interest rate or foreign exchange cap agreement, interest rate or foreign exchange collar agreement, interest rate or foreign exchange hedging agreement or other similar agreement or arrangement, each of which is</w:t>
      </w:r>
    </w:p>
    <w:p>
      <w:pPr>
        <w:ind w:left="268" w:hanging="268"/>
        <w:spacing w:after="0" w:line="214" w:lineRule="auto"/>
        <w:tabs>
          <w:tab w:leader="none" w:pos="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hedging the interest rate exposure or foreign exchange exposure associated with Borrower’s and its Subsidiaries’ operations, and</w:t>
      </w:r>
    </w:p>
    <w:p>
      <w:pPr>
        <w:ind w:left="268" w:hanging="268"/>
        <w:spacing w:after="0"/>
        <w:tabs>
          <w:tab w:leader="none" w:pos="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speculative purposes.</w:t>
      </w:r>
    </w:p>
    <w:p>
      <w:pPr>
        <w:spacing w:after="0" w:line="14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the maximum lawful interest rate, if any, that at any time or from time to time may be contracted for, charged, or received under the laws applicable to any Lender that are presently in effect or, to the extent allowed by law, under such applicable laws that may hereafter be in effect and that allow a higher maximum non-usurious interest rate than applicable laws now allow.</w:t>
      </w:r>
    </w:p>
    <w:p>
      <w:pPr>
        <w:spacing w:after="0" w:line="129" w:lineRule="exact"/>
        <w:rPr>
          <w:sz w:val="20"/>
          <w:szCs w:val="20"/>
          <w:color w:val="auto"/>
        </w:rPr>
      </w:pPr>
    </w:p>
    <w:p>
      <w:pPr>
        <w:jc w:val="both"/>
        <w:ind w:left="8" w:firstLine="551"/>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160 and 164, Subparts A and D.</w:t>
      </w:r>
    </w:p>
    <w:p>
      <w:pPr>
        <w:spacing w:after="0" w:line="132" w:lineRule="exact"/>
        <w:rPr>
          <w:sz w:val="20"/>
          <w:szCs w:val="20"/>
          <w:color w:val="auto"/>
        </w:rPr>
      </w:pPr>
    </w:p>
    <w:p>
      <w:pPr>
        <w:jc w:val="both"/>
        <w:ind w:left="8" w:right="20"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means the audited financial statements of Borrower and its Subsidiaries, for the Fiscal Year ended December 31, 2025, consisting of balance sheets and the related consolidated statements of income, stockholders’ equity and cash flows for such Fiscal Year.</w:t>
      </w:r>
    </w:p>
    <w:p>
      <w:pPr>
        <w:spacing w:after="0" w:line="321" w:lineRule="exact"/>
        <w:rPr>
          <w:sz w:val="20"/>
          <w:szCs w:val="20"/>
          <w:color w:val="auto"/>
        </w:rPr>
      </w:pPr>
    </w:p>
    <w:p>
      <w:pPr>
        <w:jc w:val="both"/>
        <w:ind w:left="8" w:firstLine="551"/>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Domestic Subsidiary that (i) had assets representing [***]% or less of the Consolidated Total Assets of Borrower and its Subsidiaries, determined on a consolidated basis in accordance with GAAP, as of the last day of the most recent Fiscal Quarter for which financial statements have been, or were required to be, delivered pursuant to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(ii) contributed [***]% or less of the total Revenues of Borrower and its Subsidiaries, for the Fiscal Quarter ended on the Test Date and (iii) does not own or hold an exclusive license or other exclusive right, title or interest in any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at any time and from time to time after the Closing Date, Subsidiaries that are Excluded Subsidiaries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either (x) comprise in the aggregate more than [***]% of the Consolidated Total Assets of Borrower and its Subsidiaries as of the Test Date or contribute more than [***]% of the total Revenues of Borrower and its Subsidiaries for the Fiscal Quarter ended on the Test Date or (x) hold more than $[***] of Cash and Cash Equivalents, in each case, in the aggregate with all other such Subsidiaries, then Borrower shall, not later than [***] after the date by which financial statements for such period are required to be delivered (or such longer period as the Administrative Agent may agree in its sole discretion in writing), designate in writing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268"/>
          </w:cols>
          <w:pgMar w:left="312" w:top="1207" w:right="319" w:bottom="1440" w:gutter="0" w:footer="0" w:header="0"/>
        </w:sectPr>
      </w:pPr>
    </w:p>
    <w:bookmarkStart w:id="70" w:name="page71"/>
    <w:bookmarkEnd w:id="70"/>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Administrative Agent that one or more of such Subsidiaries is no longer an Excluded Subsidiary for purposes of this Agreement to the extent required such that the foregoing conditions cease to be true, and such designated Subsidiaries shall cease to be Excluded Subsidiaries and shall be subject to the provisions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the primary purpose or intent thereof is as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(k) all obligations of such Person in respect of any exchange traded or over the counter derivative transaction, including, without limitation, any Hedging Agreement, whether entered into for hedging or speculative purposes, (l) Disqualified Capital Stock, and (m) all obligations in respect of Royalty Monetization Transactions.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(v) deferred compensation and severance, and, solely to the extent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260"/>
          </w:cols>
          <w:pgMar w:left="320" w:top="1207" w:right="319" w:bottom="1440" w:gutter="0" w:footer="0" w:header="0"/>
        </w:sectPr>
      </w:pPr>
    </w:p>
    <w:bookmarkStart w:id="71" w:name="page72"/>
    <w:bookmarkEnd w:id="71"/>
    <w:p>
      <w:pPr>
        <w:jc w:val="both"/>
        <w:ind w:left="8"/>
        <w:spacing w:after="0" w:line="218" w:lineRule="auto"/>
        <w:rPr>
          <w:sz w:val="20"/>
          <w:szCs w:val="20"/>
          <w:color w:val="auto"/>
        </w:rPr>
      </w:pPr>
      <w:r>
        <w:rPr>
          <w:rFonts w:ascii="Times New Roman" w:cs="Times New Roman" w:eastAsia="Times New Roman" w:hAnsi="Times New Roman"/>
          <w:sz w:val="18"/>
          <w:szCs w:val="18"/>
          <w:color w:val="auto"/>
        </w:rPr>
        <w:t xml:space="preserve">are properly classified as liabilities on a balance sheet in conformity with GAAP, pension, retiree welfare and equivalent benefits or any deferred obligations incurred under ERISA, (vi) purchase price adjustments or earn outs or other contingent payments of a similar nature (including any non-compete payments and consulting payments) made in connection with any Investment or other acquisitions, mergers, amalgamations, or similar transaction, in each case, to the extent such obligations have not become due and payable and not been paid within [***] (unless such obligation is subject to a good faith dispute contested by appropriate proceedings) of such obligation becoming due and payable (provided that deferred payments that are fixed or not subject to a bona fide contingency shall constitute Indebtedness to the extent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(vii) non-compete or consulting obligations incurred in connection with Investments or other acquisitions, mergers, amalgamations, or similar transaction, until such obligations become a liability on the balance sheet of such Person in accordance with GAAP, (viii) unsecured installment payments or the deferred purchase price of property or services to the extent payable solely in Qualified Capital Stock of such Person, (ix) purchase price holdbacks in respect of a portion of the purchase price of an asset to satisfy unperformed obligations of the seller of such asset and (x) any bona fide unsecured royalty obligations payable by a Loan Party or any Subsidiary in respect of any in-license or acquisition of Intellectual Property Rights by any Loan Party or Subsidiary.</w:t>
      </w:r>
    </w:p>
    <w:p>
      <w:pPr>
        <w:spacing w:after="0" w:line="137" w:lineRule="exact"/>
        <w:rPr>
          <w:sz w:val="20"/>
          <w:szCs w:val="20"/>
          <w:color w:val="auto"/>
        </w:rPr>
      </w:pPr>
    </w:p>
    <w:p>
      <w:pPr>
        <w:jc w:val="both"/>
        <w:ind w:left="8" w:firstLine="551"/>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means, collectively, any and all liabilities (including Environmental Liabilities and Costs), obligations, losses, damages (including natural resource damages), penalties,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and documented out-of-pocket fees and disbursements of counsel pursuant to </w:t>
      </w:r>
      <w:r>
        <w:rPr>
          <w:rFonts w:ascii="Times New Roman" w:cs="Times New Roman" w:eastAsia="Times New Roman" w:hAnsi="Times New Roman"/>
          <w:sz w:val="18"/>
          <w:szCs w:val="18"/>
          <w:u w:val="single" w:color="auto"/>
          <w:color w:val="auto"/>
        </w:rPr>
        <w:t>Sections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for Indemnitees in connection with any investigative, administrative or judicial proceeding, whether incurred in connection with actions between the parties hereto or between the parties hereto and third parties,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arising out of</w:t>
      </w:r>
    </w:p>
    <w:p>
      <w:pPr>
        <w:spacing w:after="0" w:line="3" w:lineRule="exact"/>
        <w:rPr>
          <w:sz w:val="20"/>
          <w:szCs w:val="20"/>
          <w:color w:val="auto"/>
        </w:rPr>
      </w:pPr>
    </w:p>
    <w:p>
      <w:pPr>
        <w:jc w:val="both"/>
        <w:ind w:left="8" w:hanging="8"/>
        <w:spacing w:after="0" w:line="219" w:lineRule="auto"/>
        <w:tabs>
          <w:tab w:leader="none" w:pos="2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other Loan Documents or the transactions contemplated hereby or thereby (including the Lenders’ 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proposal letter delivered by any Lender to Borrower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w:t>
      </w:r>
    </w:p>
    <w:p>
      <w:pPr>
        <w:spacing w:after="0" w:line="133" w:lineRule="exact"/>
        <w:rPr>
          <w:sz w:val="20"/>
          <w:szCs w:val="20"/>
          <w:color w:val="auto"/>
        </w:rPr>
      </w:pPr>
    </w:p>
    <w:p>
      <w:pPr>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2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 Agent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268"/>
          </w:cols>
          <w:pgMar w:left="312" w:top="1207" w:right="319" w:bottom="1440" w:gutter="0" w:footer="0" w:header="0"/>
        </w:sectPr>
      </w:pPr>
    </w:p>
    <w:bookmarkStart w:id="72" w:name="page73"/>
    <w:bookmarkEnd w:id="72"/>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Infringement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Infringes</w:t>
      </w:r>
      <w:r>
        <w:rPr>
          <w:rFonts w:ascii="Times New Roman" w:cs="Times New Roman" w:eastAsia="Times New Roman" w:hAnsi="Times New Roman"/>
          <w:sz w:val="18"/>
          <w:szCs w:val="18"/>
          <w:color w:val="auto"/>
        </w:rPr>
        <w:t>” means the infringement, misappropriation or other violation of Intellectual Property Rights.</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Funding Date</w:t>
      </w:r>
      <w:r>
        <w:rPr>
          <w:rFonts w:ascii="Times New Roman" w:cs="Times New Roman" w:eastAsia="Times New Roman" w:hAnsi="Times New Roman"/>
          <w:sz w:val="18"/>
          <w:szCs w:val="18"/>
          <w:color w:val="auto"/>
        </w:rPr>
        <w:t>” means the Closing Date.</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w:t>
      </w:r>
      <w:r>
        <w:rPr>
          <w:rFonts w:ascii="Times New Roman" w:cs="Times New Roman" w:eastAsia="Times New Roman" w:hAnsi="Times New Roman"/>
          <w:sz w:val="18"/>
          <w:szCs w:val="18"/>
          <w:color w:val="auto"/>
        </w:rPr>
        <w:t xml:space="preserve">” means the Term Loan funded on the Initial Funding Date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Commitment</w:t>
      </w:r>
      <w:r>
        <w:rPr>
          <w:rFonts w:ascii="Times New Roman" w:cs="Times New Roman" w:eastAsia="Times New Roman" w:hAnsi="Times New Roman"/>
          <w:sz w:val="18"/>
          <w:szCs w:val="18"/>
          <w:color w:val="auto"/>
        </w:rPr>
        <w:t>” means the commitment of a Lender to make or otherwise fund Initial Term Loans on the Initial Funding Date, and “</w:t>
      </w:r>
      <w:r>
        <w:rPr>
          <w:rFonts w:ascii="Times New Roman" w:cs="Times New Roman" w:eastAsia="Times New Roman" w:hAnsi="Times New Roman"/>
          <w:sz w:val="18"/>
          <w:szCs w:val="18"/>
          <w:u w:val="single" w:color="auto"/>
          <w:color w:val="auto"/>
        </w:rPr>
        <w:t>Initial Term Loan Commitments</w:t>
      </w:r>
      <w:r>
        <w:rPr>
          <w:rFonts w:ascii="Times New Roman" w:cs="Times New Roman" w:eastAsia="Times New Roman" w:hAnsi="Times New Roman"/>
          <w:sz w:val="18"/>
          <w:szCs w:val="18"/>
          <w:color w:val="auto"/>
        </w:rPr>
        <w:t>” means such commitments of all Lenders in the aggregate. The amount of each Lender’s Initial Term Loan Commitment, if any, is set forth on Appendix A. The aggregate amount of the Initial Term Loan Commitments as of the Closing Date is $400,000,000.</w:t>
      </w:r>
    </w:p>
    <w:p>
      <w:pPr>
        <w:spacing w:after="0" w:line="12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any proceeding commenced by or against any Person under any provision of any Debtor Relief Law.</w:t>
      </w:r>
    </w:p>
    <w:p>
      <w:pPr>
        <w:spacing w:after="0" w:line="160" w:lineRule="exact"/>
        <w:rPr>
          <w:sz w:val="20"/>
          <w:szCs w:val="20"/>
          <w:color w:val="auto"/>
        </w:rPr>
      </w:pPr>
    </w:p>
    <w:p>
      <w:pPr>
        <w:jc w:val="both"/>
        <w:ind w:left="8" w:firstLine="551"/>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and other proprietary rights of any kind or nature, in any jurisdiction in the world, whether registered or unregistered and whether registrable or not, protected, created or arising under any law, including any and all rights in (i) Patents;</w:t>
      </w:r>
    </w:p>
    <w:p>
      <w:pPr>
        <w:spacing w:after="0" w:line="1" w:lineRule="exact"/>
        <w:rPr>
          <w:sz w:val="20"/>
          <w:szCs w:val="20"/>
          <w:color w:val="auto"/>
        </w:rPr>
      </w:pPr>
    </w:p>
    <w:p>
      <w:pPr>
        <w:ind w:left="8" w:hanging="8"/>
        <w:spacing w:after="0" w:line="233"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(iii) Copyrights; (iv) computer software, databases, data, compilations of data, and documentation; (v) Confidential Business Information; and (vi) rights to sue for past, present and future Infringements of any of the foregoing.</w:t>
      </w:r>
    </w:p>
    <w:p>
      <w:pPr>
        <w:spacing w:after="0" w:line="129" w:lineRule="exact"/>
        <w:rPr>
          <w:sz w:val="20"/>
          <w:szCs w:val="20"/>
          <w:color w:val="auto"/>
        </w:rPr>
      </w:pPr>
    </w:p>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means that certain Intercompany Subordination Agreement, dated as of the Closing Date, made by the Loan Parties and their Subsidiaries in favor of Administrative Agent for the benefit of the Secured Parties.</w:t>
      </w:r>
    </w:p>
    <w:p>
      <w:pPr>
        <w:spacing w:after="0" w:line="120" w:lineRule="exact"/>
        <w:rPr>
          <w:sz w:val="20"/>
          <w:szCs w:val="20"/>
          <w:color w:val="auto"/>
        </w:rPr>
      </w:pPr>
    </w:p>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Business Day of each Fiscal Quarter, commencing on the first such date to occur after the Closing Date, (b) with respect to any SOFR Loan, the last day of the applicable Interest Period (or, for an Interest Period longer than three (3) months, every three (3) months), commencing on the first such date to occur after the Closing Date, and (c) with respect to each Loan, the final maturity date of the Loans (whether by scheduled maturity, acceleration or otherwise).</w:t>
      </w:r>
    </w:p>
    <w:p>
      <w:pPr>
        <w:spacing w:after="0" w:line="129" w:lineRule="exact"/>
        <w:rPr>
          <w:sz w:val="20"/>
          <w:szCs w:val="20"/>
          <w:color w:val="auto"/>
        </w:rPr>
      </w:pPr>
    </w:p>
    <w:p>
      <w:pPr>
        <w:jc w:val="both"/>
        <w:ind w:left="8" w:firstLine="551"/>
        <w:spacing w:after="0" w:line="22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in connection with a SOFR Loan, an interest period of one (1), three (3) or six (6) months (or, if agreed by all relevant Lenders, twelve (12) or fewer months or a period of shorter than one (1) month),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18"/>
          <w:szCs w:val="18"/>
          <w:u w:val="single" w:color="auto"/>
          <w:color w:val="auto"/>
        </w:rPr>
        <w:t>clause (b)(iii)</w:t>
      </w:r>
      <w:r>
        <w:rPr>
          <w:rFonts w:ascii="Times New Roman" w:cs="Times New Roman" w:eastAsia="Times New Roman" w:hAnsi="Times New Roman"/>
          <w:sz w:val="18"/>
          <w:szCs w:val="18"/>
          <w:color w:val="auto"/>
        </w:rPr>
        <w:t xml:space="preserve"> of this definition, end on the last Business Day of a calendar month, and (iii) no Interest Period with respect to any portion of any Term Loan shall extend beyond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Interest Period for any SOFR Loan to be made on the Initial Funding Date may, at the Borrower’s option, end on June 30, 2026.</w:t>
      </w:r>
    </w:p>
    <w:p>
      <w:pPr>
        <w:spacing w:after="0" w:line="130" w:lineRule="exact"/>
        <w:rPr>
          <w:sz w:val="20"/>
          <w:szCs w:val="20"/>
          <w:color w:val="auto"/>
        </w:rPr>
      </w:pPr>
    </w:p>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Determination Date</w:t>
      </w:r>
      <w:r>
        <w:rPr>
          <w:rFonts w:ascii="Times New Roman" w:cs="Times New Roman" w:eastAsia="Times New Roman" w:hAnsi="Times New Roman"/>
          <w:sz w:val="18"/>
          <w:szCs w:val="18"/>
          <w:color w:val="auto"/>
        </w:rPr>
        <w:t>” means, with respect to any Interest Period, the date that is two (2) Business Days prior to the first day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268"/>
          </w:cols>
          <w:pgMar w:left="312" w:top="1207" w:right="319" w:bottom="1440" w:gutter="0" w:footer="0" w:header="0"/>
        </w:sectPr>
      </w:pPr>
    </w:p>
    <w:bookmarkStart w:id="73" w:name="page74"/>
    <w:bookmarkEnd w:id="73"/>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United States Internal Revenue Code of 1986, as amended.</w:t>
      </w:r>
    </w:p>
    <w:p>
      <w:pPr>
        <w:spacing w:after="0" w:line="160"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without limitation, any intercompany indebtedness) other than trade accounts payable and accrued expenses arising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3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the computers and other information technology infrastructure and assets used by the Borrower or any of the Subsidiaries in the conduct of their business as currently operated.</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xml:space="preserve">” means a joint venture, partnership or other similar arrangement, whether in corporate, partnership or other legal form, in which Borrower or any of its Subsidiaries holds any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no event shall any corporate Subsidiary of any Person be considered to be a Joint Venture to which such Person is a party.</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w:t>
      </w:r>
      <w:r>
        <w:rPr>
          <w:rFonts w:ascii="Times New Roman" w:cs="Times New Roman" w:eastAsia="Times New Roman" w:hAnsi="Times New Roman"/>
          <w:sz w:val="18"/>
          <w:szCs w:val="18"/>
          <w:color w:val="auto"/>
        </w:rPr>
        <w:t>” means (a) Permitted Subordinated Indebtedness, (b) Permitted Convertible Indebtedness, (c) any other Indebtedness that is secured by a Lien that is junior in priority to the Lien securing the Obligations or is unsecured and (c) any other Indebtedness that is expressly subordinated (in right of payment or otherwise) to all or any portion of the Obligations.</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Permits</w:t>
      </w:r>
      <w:r>
        <w:rPr>
          <w:rFonts w:ascii="Times New Roman" w:cs="Times New Roman" w:eastAsia="Times New Roman" w:hAnsi="Times New Roman"/>
          <w:sz w:val="18"/>
          <w:szCs w:val="18"/>
          <w:color w:val="auto"/>
        </w:rPr>
        <w:t>” means all Permits related to the Products, including all Regulatory Authorizations.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as of any date of determination, the latest maturity date applicable to any Term Loan hereunder as of such date.</w:t>
      </w:r>
    </w:p>
    <w:p>
      <w:pPr>
        <w:spacing w:after="0" w:line="16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LDT</w:t>
      </w:r>
      <w:r>
        <w:rPr>
          <w:rFonts w:ascii="Times New Roman" w:cs="Times New Roman" w:eastAsia="Times New Roman" w:hAnsi="Times New Roman"/>
          <w:sz w:val="18"/>
          <w:szCs w:val="18"/>
          <w:color w:val="auto"/>
        </w:rPr>
        <w:t>” means a laboratory developed test that is designed, developed, validated and performed by a single clinical laboratory authorized to perform high complexity testing under CLIA. The parties acknowledge that, as of the Closing Date, the FDA’s regulation of LDTs has evolved considerably over time and that the FDA has not historically required LDTs to comply with medical device requirements, including premarket clearances or approvals and has not persisted with rulemaking that would lift this enforcement discretion policy, although FDA continues to assert that such requirements for premarket review apply as a matter of Law, and that Congress or FDA leadership may change the FDA’s current position in the future.</w:t>
      </w:r>
    </w:p>
    <w:p>
      <w:pPr>
        <w:spacing w:after="0" w:line="251"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lender listed on the signature pages hereto as a Lender, and (i) any other Person that becomes a party hereto pursuant to an Assignment Agreement other than any Person that ceases to be a party hereto pursuant to any Assignment Agreement, and (ii) any other Person that becomes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pursuant to the terms and conditions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260"/>
          </w:cols>
          <w:pgMar w:left="320" w:top="1207" w:right="319" w:bottom="1440" w:gutter="0" w:footer="0" w:header="0"/>
        </w:sectPr>
      </w:pPr>
    </w:p>
    <w:bookmarkStart w:id="74" w:name="page75"/>
    <w:bookmarkEnd w:id="74"/>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claims, actions, suits, judgments, damages, losses, liability, obligations, responsibilities, fines, penalties, sanctions, costs, fees,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29" w:lineRule="exact"/>
        <w:rPr>
          <w:sz w:val="20"/>
          <w:szCs w:val="20"/>
          <w:color w:val="auto"/>
        </w:rPr>
      </w:pPr>
    </w:p>
    <w:p>
      <w:pPr>
        <w:jc w:val="both"/>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means all Intellectual Property Rights that are licensed to, or otherwise authorized for use by, the Borrower or any Subsidiary.</w:t>
      </w:r>
    </w:p>
    <w:p>
      <w:pPr>
        <w:spacing w:after="0" w:line="120" w:lineRule="exact"/>
        <w:rPr>
          <w:sz w:val="20"/>
          <w:szCs w:val="20"/>
          <w:color w:val="auto"/>
        </w:rPr>
      </w:pPr>
    </w:p>
    <w:p>
      <w:pPr>
        <w:jc w:val="both"/>
        <w:ind w:left="8" w:right="20" w:firstLine="551"/>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 For the avoidance of doubt, Liens shall not include any bona fide royalty obligations payable by a Loan Party or any Subsidiary in respect of any in-license or acquisition of Intellectual Property Rights by any Loan Party or Subsidiary.</w:t>
      </w:r>
    </w:p>
    <w:p>
      <w:pPr>
        <w:spacing w:after="0" w:line="132"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Term Loan.</w:t>
      </w:r>
    </w:p>
    <w:p>
      <w:pPr>
        <w:spacing w:after="0" w:line="16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means any of this Agreement, the Notes, if any, the Collateral Documents, the Fee Letters, any Guaranty, the Intercompany Subordination Agreement, the Perfection Certificate, and all other documents, instruments or agreements executed and delivered by a Loan Party for the benefit of Administrative Agent or any Lender in connection herewith.</w:t>
      </w:r>
    </w:p>
    <w:p>
      <w:pPr>
        <w:spacing w:after="0" w:line="12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Borrower or any Guarantor.</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4.36(c)</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specified in Regulation U of the Board of Governors of the Federal Reserve System as in effect from time to</w:t>
      </w:r>
    </w:p>
    <w:p>
      <w:pPr>
        <w:ind w:left="8"/>
        <w:spacing w:after="0"/>
        <w:rPr>
          <w:sz w:val="20"/>
          <w:szCs w:val="20"/>
          <w:color w:val="auto"/>
        </w:rPr>
      </w:pPr>
      <w:r>
        <w:rPr>
          <w:rFonts w:ascii="Times New Roman" w:cs="Times New Roman" w:eastAsia="Times New Roman" w:hAnsi="Times New Roman"/>
          <w:sz w:val="18"/>
          <w:szCs w:val="18"/>
          <w:color w:val="auto"/>
        </w:rPr>
        <w:t>time.</w:t>
      </w:r>
    </w:p>
    <w:p>
      <w:pPr>
        <w:spacing w:after="0" w:line="14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means, as of any date of determination, an amount equal to (a) the total number of issued and outstanding shares of Common Stock on such date, multiplied by (b) the arithmetic mean of the closing prices per share of such Common Stock on the NASDAQ exchange (or, if the primary listing of such capital stock is on another exchange, on such other exchange) for the [***] immediately preceding such date.</w:t>
      </w:r>
    </w:p>
    <w:p>
      <w:pPr>
        <w:spacing w:after="0" w:line="129" w:lineRule="exact"/>
        <w:rPr>
          <w:sz w:val="20"/>
          <w:szCs w:val="20"/>
          <w:color w:val="auto"/>
        </w:rPr>
      </w:pPr>
    </w:p>
    <w:p>
      <w:pPr>
        <w:jc w:val="both"/>
        <w:ind w:left="8" w:firstLine="551"/>
        <w:spacing w:after="0" w:line="22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w:t>
      </w:r>
    </w:p>
    <w:p>
      <w:pPr>
        <w:spacing w:after="0" w:line="2" w:lineRule="exact"/>
        <w:rPr>
          <w:sz w:val="20"/>
          <w:szCs w:val="20"/>
          <w:color w:val="auto"/>
        </w:rPr>
      </w:pPr>
    </w:p>
    <w:p>
      <w:pPr>
        <w:ind w:left="8" w:hanging="8"/>
        <w:spacing w:after="0" w:line="233"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2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268"/>
          </w:cols>
          <w:pgMar w:left="312" w:top="1207" w:right="319" w:bottom="1440" w:gutter="0" w:footer="0" w:header="0"/>
        </w:sectPr>
      </w:pPr>
    </w:p>
    <w:bookmarkStart w:id="75" w:name="page76"/>
    <w:bookmarkEnd w:id="75"/>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(i) all Core Assets and (ii) all other Intellectual Property Rights that are material to the business of the Borrower and its Subsidiaries, taken as a whole.</w:t>
      </w:r>
    </w:p>
    <w:p>
      <w:pPr>
        <w:spacing w:after="0" w:line="120" w:lineRule="exact"/>
        <w:rPr>
          <w:sz w:val="20"/>
          <w:szCs w:val="20"/>
          <w:color w:val="auto"/>
        </w:rPr>
      </w:pPr>
    </w:p>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fee-owned real property located in the United States that is owned by any Loan Party with a fair market value in excess of $[***] (at the time of acquisition, as reasonably estimated by the Borrower in good faith).</w:t>
      </w:r>
    </w:p>
    <w:p>
      <w:pPr>
        <w:spacing w:after="0" w:line="120" w:lineRule="exact"/>
        <w:rPr>
          <w:sz w:val="20"/>
          <w:szCs w:val="20"/>
          <w:color w:val="auto"/>
        </w:rPr>
      </w:pPr>
    </w:p>
    <w:p>
      <w:pPr>
        <w:jc w:val="both"/>
        <w:ind w:left="8"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Liability</w:t>
      </w:r>
      <w:r>
        <w:rPr>
          <w:rFonts w:ascii="Times New Roman" w:cs="Times New Roman" w:eastAsia="Times New Roman" w:hAnsi="Times New Roman"/>
          <w:sz w:val="18"/>
          <w:szCs w:val="18"/>
          <w:color w:val="auto"/>
        </w:rPr>
        <w:t>” means (i) any Liabilities or Adverse Proceedings arising from the violation of Public Health Laws, Health Care Laws, and other applicable comparable Requirements of Law, or the terms, conditions of or requirements applicable to any Registrations (including costs of actions required under applicable Requirements of Law, including Public Health Laws or Health Care Laws, or necessary to remedy any violation of any terms or conditions applicable to any Registrations or Permits), including, but not limited to, withdrawal of approval or licensure, recall, revocation, suspension, import, detention and seizure of any Product, and (ii) any loss of recurring annual revenues as a result of any loss, suspension or limitation of any Registrations or Permits, that, in the case of the foregoing clauses (i) and (ii), (a) exceed $[***] in the aggregate, or (b) could reasonably be expected to result in a Material Adverse Effect.</w:t>
      </w:r>
    </w:p>
    <w:p>
      <w:pPr>
        <w:spacing w:after="0" w:line="130" w:lineRule="exact"/>
        <w:rPr>
          <w:sz w:val="20"/>
          <w:szCs w:val="20"/>
          <w:color w:val="auto"/>
        </w:rPr>
      </w:pPr>
    </w:p>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(4) consecutive Fiscal Quarters of the Borrower and its Subsidiaries for which financial statements have been (or were required to have been) delivered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xml:space="preserve"> (or, prior to the first delivery of any such financial statements, the period of four (4) consecutive Fiscal Quarters of the Borrower and its Subsidiaries ended December 31, 2025).</w:t>
      </w:r>
    </w:p>
    <w:p>
      <w:pPr>
        <w:spacing w:after="0" w:line="12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Services, Inc.</w:t>
      </w:r>
    </w:p>
    <w:p>
      <w:pPr>
        <w:spacing w:after="0" w:line="16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or deed to secure debt that encumbers Real Property, in form and substance satisfactory to Administrative Agent, made by a Loan Party in favor of Administrative Agent for the benefit of the Secured Parties, securing the Obligations and delivered to Administrative Agent.</w:t>
      </w:r>
    </w:p>
    <w:p>
      <w:pPr>
        <w:spacing w:after="0" w:line="12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of ERISA.</w:t>
      </w:r>
    </w:p>
    <w:p>
      <w:pPr>
        <w:spacing w:after="0" w:line="160" w:lineRule="exact"/>
        <w:rPr>
          <w:sz w:val="20"/>
          <w:szCs w:val="20"/>
          <w:color w:val="auto"/>
        </w:rPr>
      </w:pPr>
    </w:p>
    <w:p>
      <w:pPr>
        <w:jc w:val="both"/>
        <w:ind w:left="8" w:firstLine="551"/>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(a) with respect to any Asset Sale, an amount equal to: (i) Cash payments received by Borrower or any of its Subsidiaries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bona fide costs or expenses incurred in connection with such Asset Sale that are properly attributable to such Asset Sale and to the extent paid or payable to non-Affiliates, and minus Taxes incurred in connection with such Asset Sale and (b) with respect to any insurance, condemnation, taking or other casualty proceeds, an amount equal to: (i) any Cash payments or proceeds received by Borrower or any of its Subsidiaries (A) under any [***] insurance policies in respect of any covered loss thereunder, or (B) as a result of the condemnation or taking of any assets of Borrower or any of its Subsidiaries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actual costs or expenses incurred by Borrower or any of its Subsidiaries in connection with the adjustment or settlement of any claims of Borrower or such Subsidiary in respect thereof, including Taxes, and</w:t>
      </w:r>
    </w:p>
    <w:p>
      <w:pPr>
        <w:spacing w:after="0" w:line="6" w:lineRule="exact"/>
        <w:rPr>
          <w:sz w:val="20"/>
          <w:szCs w:val="20"/>
          <w:color w:val="auto"/>
        </w:rPr>
      </w:pPr>
    </w:p>
    <w:p>
      <w:pPr>
        <w:jc w:val="both"/>
        <w:ind w:left="8" w:hanging="8"/>
        <w:spacing w:after="0" w:line="223" w:lineRule="auto"/>
        <w:tabs>
          <w:tab w:leader="none" w:pos="3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bona fide costs and expenses incurred in connection with any sale of such assets as referred to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definition to the extent paid or payable to non-Affiliates, and (c) with respect to any issuance of Capital Stock or Permitted Convertible Indebtedness, the cash proceeds thereof, net of all Taxes and customary fees, commissions, costs, underwriting discounts and other fees and expenses incurred by Borrower or any Subsidiary in connection therewith.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268"/>
          </w:cols>
          <w:pgMar w:left="312" w:top="1207" w:right="319" w:bottom="1440" w:gutter="0" w:footer="0" w:header="0"/>
        </w:sectPr>
      </w:pPr>
    </w:p>
    <w:bookmarkStart w:id="76" w:name="page77"/>
    <w:bookmarkEnd w:id="76"/>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evidencing the Initial Term Loan, Delayed Draw Term Loan or an Incremental Term Loan, as applicable.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means a Funding Notice or a Conversion/Continuation Notice.</w:t>
      </w:r>
    </w:p>
    <w:p>
      <w:pPr>
        <w:spacing w:after="0" w:line="160" w:lineRule="exact"/>
        <w:rPr>
          <w:sz w:val="20"/>
          <w:szCs w:val="20"/>
          <w:color w:val="auto"/>
        </w:rPr>
      </w:pPr>
    </w:p>
    <w:p>
      <w:pPr>
        <w:jc w:val="both"/>
        <w:ind w:firstLine="551"/>
        <w:spacing w:after="0" w:line="22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obligations of every nature of each Loan Party and its Subsidiaries from time to time owed to Administrative Agent (including former Administrative Agents), the Lenders or any of them, under any Loan Document, whether for principal, interest (including interest that, but for the filing of a petition in bankruptcy with respect to such Loan Party, would have accrued on any Obligation, whether or not a claim is allowed against such Loan Party for such interest in the related bankruptcy proceeding), the Prepayment Premium, Erroneous Payment Subrogation Rights, fees, expenses, indemnification or otherwise and whether primary, secondary, direct, indirect, contingent, fixed or otherwise (including obligations of performance).</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Treasury Department’s Office of Foreign Assets Control.</w:t>
      </w:r>
    </w:p>
    <w:p>
      <w:pPr>
        <w:spacing w:after="0" w:line="160"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or company, its certificate of incorporation, its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w:t>
      </w:r>
      <w:r>
        <w:rPr>
          <w:rFonts w:ascii="Times New Roman" w:cs="Times New Roman" w:eastAsia="Times New Roman" w:hAnsi="Times New Roman"/>
          <w:sz w:val="18"/>
          <w:szCs w:val="18"/>
          <w:u w:val="single" w:color="auto"/>
          <w:color w:val="auto"/>
        </w:rPr>
        <w:t>Organizational Document</w:t>
      </w:r>
      <w:r>
        <w:rPr>
          <w:rFonts w:ascii="Times New Roman" w:cs="Times New Roman" w:eastAsia="Times New Roman" w:hAnsi="Times New Roman"/>
          <w:sz w:val="18"/>
          <w:szCs w:val="18"/>
          <w:color w:val="auto"/>
        </w:rPr>
        <w:t>” shall only be to a document of a type customarily certified by such governmental official.</w:t>
      </w:r>
    </w:p>
    <w:p>
      <w:pPr>
        <w:spacing w:after="0" w:line="13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any connection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Rights owned (solely or jointly with others) by the Borrower or any Subsidiary.</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10.6(h)(ii)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means any issued national, regional and international patent and any application or invention disclosure therefor (whether provisional applications, non-provisional applications, divisionals, continuations, continuations in-part, and continued prosecution applications), and which for purposes of this Agreement, shall be deemed to include any substitutions, reissues, reexaminations, renewals, extensions, adjustments, restorations, supplemental protection certificates and patent rights in any form in connection therewith, whether in or related to the United States or any foreign country or other jurisdiction.</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260"/>
          </w:cols>
          <w:pgMar w:left="320" w:top="1207" w:right="319" w:bottom="1440" w:gutter="0" w:footer="0" w:header="0"/>
        </w:sectPr>
      </w:pPr>
    </w:p>
    <w:bookmarkStart w:id="77" w:name="page78"/>
    <w:bookmarkEnd w:id="77"/>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Benefit Plan, other than a Multiemployer Plan, that is subject to Section 412 of the Internal Revenue Code, Section 302 of ERISA or Title IV of ERISA.</w:t>
      </w:r>
    </w:p>
    <w:p>
      <w:pPr>
        <w:spacing w:after="0" w:line="12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that certain Perfection Certificate dated as of the Closing Date, as updated from time to time in accordance with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licenses, registrations, certificates, orders, approvals, authorizations, provider or supplier numbers, consents, clearances, waivers, franchises, variances, exclusions and similar rights issued by or obtained from any Governmental Authority, including, without limitation, those relating to Regulatory Authorizations or to clinical laboratory certification or accreditation.</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Borrower or its Subsidiaries, whether by purchase, merger, in-licensing or otherwise, of all or substantially all of the assets of, a majority of the Capital Stock of, or a business line or unit or a division of, or Patents, royalty rights or similar or related assets of, any Person (collectively,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100" w:hanging="557"/>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thereto, no Event of Default shall have occurred and be continuing or would result therefrom;</w:t>
      </w:r>
    </w:p>
    <w:p>
      <w:pPr>
        <w:spacing w:after="0" w:line="160" w:lineRule="exact"/>
        <w:rPr>
          <w:rFonts w:ascii="Times New Roman" w:cs="Times New Roman" w:eastAsia="Times New Roman" w:hAnsi="Times New Roman"/>
          <w:sz w:val="18"/>
          <w:szCs w:val="18"/>
          <w:color w:val="auto"/>
        </w:rPr>
      </w:pPr>
    </w:p>
    <w:p>
      <w:pPr>
        <w:jc w:val="both"/>
        <w:ind w:firstLine="543"/>
        <w:spacing w:after="0" w:line="234" w:lineRule="auto"/>
        <w:tabs>
          <w:tab w:leader="none" w:pos="10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paid with proceeds provided by the Borrower or a Guarantor for entities that do not become Guarantors or pledge their assets as Collateral or, without duplications, for assets that do not become Collateral, shall, in each case, not exceed $[***] in the aggregate during the term of this Agreement;</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taken, or caused to be taken, any actions required to be taken as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within the time periods set forth therein, as applicable;</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Subsidiaries shall, as of the applicable Test Date, on a pro forma basis after giving effect to such Acquisition, be in compliance with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firstLine="543"/>
        <w:spacing w:after="0" w:line="250"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delivered to the Administrative Agent and the Lenders, at least [***] prior to such Acquisition, a written notice describing the transaction;</w:t>
      </w:r>
    </w:p>
    <w:p>
      <w:pPr>
        <w:spacing w:after="0" w:line="119" w:lineRule="exact"/>
        <w:rPr>
          <w:rFonts w:ascii="Times New Roman" w:cs="Times New Roman" w:eastAsia="Times New Roman" w:hAnsi="Times New Roman"/>
          <w:sz w:val="18"/>
          <w:szCs w:val="18"/>
          <w:color w:val="auto"/>
        </w:rPr>
      </w:pPr>
    </w:p>
    <w:p>
      <w:pPr>
        <w:jc w:val="both"/>
        <w:ind w:firstLine="543"/>
        <w:spacing w:after="0" w:line="226" w:lineRule="auto"/>
        <w:tabs>
          <w:tab w:leader="none" w:pos="11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with total Cash and Cash Equivalent consideration in excess of $[***], if requested by the Administrative Agent or the Required Lenders, Borrower shall have delivered to Administrative Agent and the Required Lenders, prior to such proposed Acquisition, such information and documents that Administrative Agent or the Required Lenders may reasonably request, including, without limitation, historical financial information with respect to such acquired assets, [***] projections for the target and for the Borrower after giving effect to such Acquisition and drafts of the respective material acquisition agreements related thereto;</w:t>
      </w:r>
    </w:p>
    <w:p>
      <w:pPr>
        <w:spacing w:after="0" w:line="127"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assets or division as acquired in such Permitted Acquisition shall be in the same business or lines of business in which Borrower or its Subsidiaries are engaged as of the Closing Date (or otherwise permitted by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260"/>
          </w:cols>
          <w:pgMar w:left="320" w:top="1207" w:right="319" w:bottom="1440" w:gutter="0" w:footer="0" w:header="0"/>
        </w:sectPr>
      </w:pPr>
    </w:p>
    <w:bookmarkStart w:id="78" w:name="page79"/>
    <w:bookmarkEnd w:id="78"/>
    <w:p>
      <w:pPr>
        <w:ind w:right="20" w:firstLine="543"/>
        <w:spacing w:after="0" w:line="250" w:lineRule="auto"/>
        <w:tabs>
          <w:tab w:leader="none" w:pos="10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approved by the Board of Directors or other governing body or controlling Person of the Person acquired or the Person from whom such assets or division is acquired or a court of competent jurisdiction; and</w:t>
      </w:r>
    </w:p>
    <w:p>
      <w:pPr>
        <w:spacing w:after="0" w:line="116"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and Cash Equivalent consideration (excluding [***]) paid or payable in connection with all such Acquisitions shall not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w:t>
      </w:r>
    </w:p>
    <w:p>
      <w:pPr>
        <w:spacing w:after="0" w:line="140" w:lineRule="exact"/>
        <w:rPr>
          <w:sz w:val="20"/>
          <w:szCs w:val="20"/>
          <w:color w:val="auto"/>
        </w:rPr>
      </w:pPr>
    </w:p>
    <w:p>
      <w:pPr>
        <w:jc w:val="both"/>
        <w:ind w:firstLine="551"/>
        <w:spacing w:after="0" w:line="22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xml:space="preserve">” means Indebtedness incurred by the Borrower that is convertible at the option of the holders thereof into common stock of the Borrower together with cash in lieu of fractional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such Indebtedness is unsecured, (b) such Indebtedness is not guaranteed by any Person that is not a Guarantor, (c) cash interest rate on such Indebtedness shall not exceed [***]% per annum at any time prior to the date that is [***] after the Term Loan Maturity Date, (d) such Indebtedness shall not include covenants and defaults (other than covenants and defaults customary for convertible indebtedness but not customary for loans for public company issuers [***]) that are, taken as a whole, more restrictive on the Loan Parties than the provisions of this Agreement [***], (e) immediately prior to and after giving effect to the incurrence of such Indebtedness, no Event of Default shall have occurred and be continuing or could reasonably be expected to occur as a result therefrom, (f) such Indebtedness shall not (i) mature or be mandatorily redeemable, pursuant to a sinking fund obligation or otherwise, (ii) be redeemable at the option of the holder thereof, in whole or in part, (iii) provide for the scheduled payment of dividends or distributions (other than scheduled cash interest payments) in cash, in each case of the foregoing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prior to the date that is 6 months after the Term Loan Maturity Date (it being understood, for the avoidance of doubt, that (w) a redemption right of the Borrower in respect of such Indebtedness, (x) conversion rights of holders in respect of such Indebtedness to convert into common stock of the Borrower together with cash in lieu of fractional shares, (y) acceleration rights of holders of such Indebtedness upon the occurrence of an event of default specified in the agreement governing such Indebtedness and (z) the obligation to pay customary amounts to holders of such Indebtedness in connection with an asset disposition, casualty event, “change of control” or “fundamental change”, in each case, shall not be considered in connection with the determination of scheduled maturity date for purposes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and (g) any cross-default or cross acceleration event of default (howsoever defined) provision contained therein that relates to indebtedness of Borrower (or any of its Subsidiaries) (such indebtedness, a “Cross-Default Reference Obligation”) contains a cure period of at least [***] before a default, event of default, acceleration or other event or condition under such Cross-Default Reference Obligation results in an “event of default” under such cross-default or cross acceleration provision).</w:t>
      </w:r>
    </w:p>
    <w:p>
      <w:pPr>
        <w:spacing w:after="0" w:line="135" w:lineRule="exact"/>
        <w:rPr>
          <w:sz w:val="20"/>
          <w:szCs w:val="20"/>
          <w:color w:val="auto"/>
        </w:rPr>
      </w:pPr>
    </w:p>
    <w:p>
      <w:pPr>
        <w:jc w:val="both"/>
        <w:ind w:firstLine="551"/>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Derivative</w:t>
      </w:r>
      <w:r>
        <w:rPr>
          <w:rFonts w:ascii="Times New Roman" w:cs="Times New Roman" w:eastAsia="Times New Roman" w:hAnsi="Times New Roman"/>
          <w:sz w:val="18"/>
          <w:szCs w:val="18"/>
          <w:color w:val="auto"/>
        </w:rPr>
        <w:t xml:space="preserve">” means (a) (i) any Swap Agreement (including, but not limited to, any bond hedge transaction or capped call transaction) pursuant to which the Borrower acquires an option requiring the counterparty thereto to deliver to the Borrower shares of common stock of the Borrower, the cash value of such shares or a combination thereof from time to time upon exercise of such option and (ii) any Swap Agreement pursuant to which the Borrower issues to the counterparty thereto warrants to acquire common stock of the Borrower (whether such warrant is settled in shares, cash or a combination thereof), in each case of clauses (i) and (ii) entered into by the Borrower in connection with the issuance of Permitted Convertible Indebtedness or (b) is explicitly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terms, conditions and covenants of each such Swap Agreement shall be such as are customary for Swap Agreements of such type [***], (y) in the case of clause (ii) above, such Swap Agreement would be classified as an equity instrument in accordance with GAAP, and the settlement of such Swap Agreement does not require the Borrower to make any payment in cash or cash equivalents that would disqualify such Swap Agreement from so being classified as an equity instrument and (z) the purchase price for any such Swap Agreement does not exceed [***]% of the proceeds of the related Permitted Convertible Indebtedness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260"/>
          </w:cols>
          <w:pgMar w:left="320" w:top="1207" w:right="319" w:bottom="1440" w:gutter="0" w:footer="0" w:header="0"/>
        </w:sectPr>
      </w:pPr>
    </w:p>
    <w:bookmarkStart w:id="79" w:name="page80"/>
    <w:bookmarkEnd w:id="79"/>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xml:space="preserve">” means (a) David Dean Halbert, his heirs and other Family Members and any trusts or other holding, investment or estate planning vehicles for the benefit of any of the foregoing and any Controlled Investment Affiliate thereof and (b) any group (within the meaning of Rules 13d-3 and 13d-5 under the Exchange Act) of which any Person described in the foregoing clause (a) is a member for so long as the Persons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collectively, have beneficial ownership of no less than [***]% of the total voting power of the issued and outstanding Capital Stock of the Borrower (or any parent thereof) then held by such group.</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w:t>
      </w:r>
    </w:p>
    <w:p>
      <w:pPr>
        <w:spacing w:after="0" w:line="160" w:lineRule="exact"/>
        <w:rPr>
          <w:sz w:val="20"/>
          <w:szCs w:val="20"/>
          <w:color w:val="auto"/>
        </w:rPr>
      </w:pPr>
    </w:p>
    <w:p>
      <w:pPr>
        <w:ind w:left="1100" w:hanging="557"/>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(including any Replacement Term Loans);</w:t>
      </w:r>
    </w:p>
    <w:p>
      <w:pPr>
        <w:spacing w:after="0" w:line="160"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Permitted Intercompany Investments; provided, that such Indebtedness shall be unsecured and to the extent applicable the parties thereto are party to an Intercompany Subordination Agreement;</w:t>
      </w:r>
    </w:p>
    <w:p>
      <w:pPr>
        <w:spacing w:after="0" w:line="119" w:lineRule="exact"/>
        <w:rPr>
          <w:rFonts w:ascii="Times New Roman" w:cs="Times New Roman" w:eastAsia="Times New Roman" w:hAnsi="Times New Roman"/>
          <w:sz w:val="18"/>
          <w:szCs w:val="18"/>
          <w:color w:val="auto"/>
        </w:rPr>
      </w:pPr>
    </w:p>
    <w:p>
      <w:pPr>
        <w:jc w:val="both"/>
        <w:ind w:firstLine="543"/>
        <w:spacing w:after="0" w:line="234"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Borrower or any of its Subsidiaries in the ordinary course of business arising from agreements providing for indemnification or from guaranties or letters of credit, surety bonds or performance bonds securing the performance of Borrower or any such Subsidiary pursuant to such agreements;</w:t>
      </w:r>
    </w:p>
    <w:p>
      <w:pPr>
        <w:spacing w:after="0" w:line="129" w:lineRule="exact"/>
        <w:rPr>
          <w:rFonts w:ascii="Times New Roman" w:cs="Times New Roman" w:eastAsia="Times New Roman" w:hAnsi="Times New Roman"/>
          <w:sz w:val="18"/>
          <w:szCs w:val="18"/>
          <w:color w:val="auto"/>
        </w:rPr>
      </w:pPr>
    </w:p>
    <w:p>
      <w:pPr>
        <w:jc w:val="both"/>
        <w:ind w:firstLine="543"/>
        <w:spacing w:after="0" w:line="234" w:lineRule="auto"/>
        <w:tabs>
          <w:tab w:leader="none" w:pos="10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spacing w:after="0" w:line="129" w:lineRule="exact"/>
        <w:rPr>
          <w:rFonts w:ascii="Times New Roman" w:cs="Times New Roman" w:eastAsia="Times New Roman" w:hAnsi="Times New Roman"/>
          <w:sz w:val="18"/>
          <w:szCs w:val="18"/>
          <w:color w:val="auto"/>
        </w:rPr>
      </w:pPr>
    </w:p>
    <w:p>
      <w:pPr>
        <w:jc w:val="both"/>
        <w:ind w:firstLine="543"/>
        <w:spacing w:after="0" w:line="234"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spacing w:after="0" w:line="129" w:lineRule="exact"/>
        <w:rPr>
          <w:rFonts w:ascii="Times New Roman" w:cs="Times New Roman" w:eastAsia="Times New Roman" w:hAnsi="Times New Roman"/>
          <w:sz w:val="18"/>
          <w:szCs w:val="18"/>
          <w:color w:val="auto"/>
        </w:rPr>
      </w:pPr>
    </w:p>
    <w:p>
      <w:pPr>
        <w:jc w:val="both"/>
        <w:ind w:firstLine="543"/>
        <w:spacing w:after="0" w:line="229" w:lineRule="auto"/>
        <w:tabs>
          <w:tab w:leader="none" w:pos="11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 respect of netting services, overdraft protections and otherwise in connection with deposit accounts; and (ii) Indebtedness customarily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 [***] of incurrence;</w:t>
      </w:r>
    </w:p>
    <w:p>
      <w:pPr>
        <w:spacing w:after="0" w:line="125"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described in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and any Permitted Refinancing Indebtedness in respect of such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40" w:lineRule="exact"/>
        <w:rPr>
          <w:rFonts w:ascii="Times New Roman" w:cs="Times New Roman" w:eastAsia="Times New Roman" w:hAnsi="Times New Roman"/>
          <w:sz w:val="18"/>
          <w:szCs w:val="18"/>
          <w:color w:val="auto"/>
        </w:rPr>
      </w:pPr>
    </w:p>
    <w:p>
      <w:pPr>
        <w:jc w:val="both"/>
        <w:ind w:firstLine="543"/>
        <w:spacing w:after="0" w:line="234" w:lineRule="auto"/>
        <w:tabs>
          <w:tab w:leader="none" w:pos="10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amount outstanding not to exceed at any time $[***] with respect to (i) Capital Leases and (ii) purchase money Indebtedness (including any Indebtedness acquired in connection with a Permitted Acquisition); provided that any such Indebtedness shall be secured only by the asset subject to such Capital Lease or by the asset acquired in connection with the incurrence of such Indebtedness;</w:t>
      </w:r>
    </w:p>
    <w:p>
      <w:pPr>
        <w:spacing w:after="0" w:line="129" w:lineRule="exact"/>
        <w:rPr>
          <w:rFonts w:ascii="Times New Roman" w:cs="Times New Roman" w:eastAsia="Times New Roman" w:hAnsi="Times New Roman"/>
          <w:sz w:val="18"/>
          <w:szCs w:val="18"/>
          <w:color w:val="auto"/>
        </w:rPr>
      </w:pPr>
    </w:p>
    <w:p>
      <w:pPr>
        <w:jc w:val="both"/>
        <w:ind w:firstLine="543"/>
        <w:spacing w:after="0" w:line="234" w:lineRule="auto"/>
        <w:tabs>
          <w:tab w:leader="none" w:pos="10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guaranties with respect to Indebtedness of Borrower or any of its Subsidiaries, to the extent that the Person that is obligated under such guaranty could have incurred such underlying Indebtedness and to the extent such guaranties are not prohibited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provided that, if the Indebtedness being guaranteed is subordinated to the Obligations, such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260"/>
          </w:cols>
          <w:pgMar w:left="320" w:top="1207" w:right="319" w:bottom="1440" w:gutter="0" w:footer="0" w:header="0"/>
        </w:sectPr>
      </w:pPr>
    </w:p>
    <w:bookmarkStart w:id="80" w:name="page81"/>
    <w:bookmarkEnd w:id="80"/>
    <w:p>
      <w:pPr>
        <w:ind w:left="8"/>
        <w:spacing w:after="0" w:line="250" w:lineRule="auto"/>
        <w:rPr>
          <w:sz w:val="20"/>
          <w:szCs w:val="20"/>
          <w:color w:val="auto"/>
        </w:rPr>
      </w:pPr>
      <w:r>
        <w:rPr>
          <w:rFonts w:ascii="Times New Roman" w:cs="Times New Roman" w:eastAsia="Times New Roman" w:hAnsi="Times New Roman"/>
          <w:sz w:val="18"/>
          <w:szCs w:val="18"/>
          <w:color w:val="auto"/>
        </w:rPr>
        <w:t>guaranty shall be subordinated to the Obligations on terms at least as favorable to the Secured Parties as those contained in the subordination of such Indebtedness;</w:t>
      </w:r>
    </w:p>
    <w:p>
      <w:pPr>
        <w:spacing w:after="0" w:line="120" w:lineRule="exact"/>
        <w:rPr>
          <w:sz w:val="20"/>
          <w:szCs w:val="20"/>
          <w:color w:val="auto"/>
        </w:rPr>
      </w:pPr>
    </w:p>
    <w:p>
      <w:pPr>
        <w:jc w:val="both"/>
        <w:ind w:left="8" w:firstLine="543"/>
        <w:spacing w:after="0" w:line="224"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of Borrower owing to former employees, officers, or directors (or any spouses, ex-spouses, or estates of any of the foregoing) incurred in connection with the repurchase by Borrower of the Capital Stock of Borrower that has been issued to such Persons, so long as</w:t>
      </w:r>
    </w:p>
    <w:p>
      <w:pPr>
        <w:spacing w:after="0" w:line="1" w:lineRule="exact"/>
        <w:rPr>
          <w:rFonts w:ascii="Times New Roman" w:cs="Times New Roman" w:eastAsia="Times New Roman" w:hAnsi="Times New Roman"/>
          <w:sz w:val="18"/>
          <w:szCs w:val="18"/>
          <w:color w:val="auto"/>
        </w:rPr>
      </w:pPr>
    </w:p>
    <w:p>
      <w:pPr>
        <w:ind w:left="8" w:hanging="8"/>
        <w:spacing w:after="0" w:line="233" w:lineRule="auto"/>
        <w:tabs>
          <w:tab w:leader="none" w:pos="2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result from the incurrence of such Indebtedness, (ii) the aggregate outstanding principal amount of all such Indebtedness incurred pursuant to this clause (j) does not exceed at any time $[***];</w:t>
      </w:r>
    </w:p>
    <w:p>
      <w:pPr>
        <w:spacing w:after="0" w:line="129" w:lineRule="exact"/>
        <w:rPr>
          <w:rFonts w:ascii="Times New Roman" w:cs="Times New Roman" w:eastAsia="Times New Roman" w:hAnsi="Times New Roman"/>
          <w:sz w:val="18"/>
          <w:szCs w:val="18"/>
          <w:color w:val="auto"/>
        </w:rPr>
      </w:pPr>
    </w:p>
    <w:p>
      <w:pPr>
        <w:jc w:val="both"/>
        <w:ind w:left="8" w:firstLine="543"/>
        <w:spacing w:after="0" w:line="234" w:lineRule="auto"/>
        <w:tabs>
          <w:tab w:leader="none" w:pos="11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29" w:lineRule="exact"/>
        <w:rPr>
          <w:rFonts w:ascii="Times New Roman" w:cs="Times New Roman" w:eastAsia="Times New Roman" w:hAnsi="Times New Roman"/>
          <w:sz w:val="18"/>
          <w:szCs w:val="18"/>
          <w:color w:val="auto"/>
        </w:rPr>
      </w:pPr>
    </w:p>
    <w:p>
      <w:pPr>
        <w:jc w:val="both"/>
        <w:ind w:left="8" w:firstLine="543"/>
        <w:spacing w:after="0" w:line="226"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agreements of the Borrower or any Subsidiary providing for indemnification, adjustment of purchase or acquisition price or similar obligations (including earn-outs or similar Permitted Investments), in each case, incurred or assumed in connection with any Permitted Acquisition or other Permitted Investment or any license, transfer or other Asset Sale permitted hereunder in an aggregate principal amount (when combined with the aggregate principal amount of Indebtedness incurred or assumed under </w:t>
      </w:r>
      <w:r>
        <w:rPr>
          <w:rFonts w:ascii="Times New Roman" w:cs="Times New Roman" w:eastAsia="Times New Roman" w:hAnsi="Times New Roman"/>
          <w:sz w:val="18"/>
          <w:szCs w:val="18"/>
          <w:u w:val="single" w:color="auto"/>
          <w:color w:val="auto"/>
        </w:rPr>
        <w:t>clauses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of this definition of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not to exceed at any time $[***];</w:t>
      </w:r>
    </w:p>
    <w:p>
      <w:pPr>
        <w:spacing w:after="0" w:line="127" w:lineRule="exact"/>
        <w:rPr>
          <w:rFonts w:ascii="Times New Roman" w:cs="Times New Roman" w:eastAsia="Times New Roman" w:hAnsi="Times New Roman"/>
          <w:sz w:val="18"/>
          <w:szCs w:val="18"/>
          <w:color w:val="auto"/>
        </w:rPr>
      </w:pPr>
    </w:p>
    <w:p>
      <w:pPr>
        <w:jc w:val="both"/>
        <w:ind w:left="8" w:firstLine="543"/>
        <w:spacing w:after="0" w:line="226"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whose assets or Capital Stock are acquired by Borrower or any of its Subsidiaries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 is either purchase money Indebtedness or a Capital Lease with respect to equipment or mortgage financing with respect to a facility, (ii) was in existence prior to the date of such Permitted Acquisition, and (iii) was not incurred in connection with, or in contemplation of, such Permitted Acquisition, in an aggregate principal amount (when combined with the aggregate principal amount of Indebtedness incurred or assumed under </w:t>
      </w:r>
      <w:r>
        <w:rPr>
          <w:rFonts w:ascii="Times New Roman" w:cs="Times New Roman" w:eastAsia="Times New Roman" w:hAnsi="Times New Roman"/>
          <w:sz w:val="18"/>
          <w:szCs w:val="18"/>
          <w:u w:val="single" w:color="auto"/>
          <w:color w:val="auto"/>
        </w:rPr>
        <w:t>clauses (l)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of this definition of “</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not to exceed at any time $[***];</w:t>
      </w:r>
    </w:p>
    <w:p>
      <w:pPr>
        <w:spacing w:after="0" w:line="127" w:lineRule="exact"/>
        <w:rPr>
          <w:rFonts w:ascii="Times New Roman" w:cs="Times New Roman" w:eastAsia="Times New Roman" w:hAnsi="Times New Roman"/>
          <w:sz w:val="18"/>
          <w:szCs w:val="18"/>
          <w:color w:val="auto"/>
        </w:rPr>
      </w:pPr>
    </w:p>
    <w:p>
      <w:pPr>
        <w:jc w:val="both"/>
        <w:ind w:left="8" w:firstLine="543"/>
        <w:spacing w:after="0" w:line="234" w:lineRule="auto"/>
        <w:tabs>
          <w:tab w:leader="none" w:pos="11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Convertible Indebtedness and any Permitted Refinancing Indebtedness in respect thereof in an aggregate outstanding principal amount not to exceed at any time (when combined with the aggregate principal amount of Indebtedness incurred under clause (u) of this definition of “</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w:t>
      </w:r>
    </w:p>
    <w:p>
      <w:pPr>
        <w:spacing w:after="0" w:line="129" w:lineRule="exact"/>
        <w:rPr>
          <w:rFonts w:ascii="Times New Roman" w:cs="Times New Roman" w:eastAsia="Times New Roman" w:hAnsi="Times New Roman"/>
          <w:sz w:val="18"/>
          <w:szCs w:val="18"/>
          <w:color w:val="auto"/>
        </w:rPr>
      </w:pPr>
    </w:p>
    <w:p>
      <w:pPr>
        <w:ind w:left="8" w:right="20" w:firstLine="543"/>
        <w:spacing w:after="0" w:line="250" w:lineRule="auto"/>
        <w:tabs>
          <w:tab w:leader="none" w:pos="11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in respect of letters of credit, bank guarantees, surety bonds, performance bonds or similar extensions of credit in an aggregate outstanding principal amount not to exceed at any time $[***];</w:t>
      </w:r>
    </w:p>
    <w:p>
      <w:pPr>
        <w:spacing w:after="0" w:line="119" w:lineRule="exact"/>
        <w:rPr>
          <w:rFonts w:ascii="Times New Roman" w:cs="Times New Roman" w:eastAsia="Times New Roman" w:hAnsi="Times New Roman"/>
          <w:sz w:val="18"/>
          <w:szCs w:val="18"/>
          <w:color w:val="auto"/>
        </w:rPr>
      </w:pPr>
    </w:p>
    <w:p>
      <w:pPr>
        <w:jc w:val="both"/>
        <w:ind w:left="8" w:firstLine="543"/>
        <w:spacing w:after="0" w:line="234" w:lineRule="auto"/>
        <w:tabs>
          <w:tab w:leader="none" w:pos="11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and owed to any financial institution in respect of (i) purchasing or credit card programs and (ii) treasury, depository or cash management services, including any payments in connection with the termination thereof; provided that the aggregate principal amount of Indebtedness outstanding pursuant to this clause (p) shall not exceed $[***] at any time;</w:t>
      </w:r>
    </w:p>
    <w:p>
      <w:pPr>
        <w:spacing w:after="0" w:line="129" w:lineRule="exact"/>
        <w:rPr>
          <w:rFonts w:ascii="Times New Roman" w:cs="Times New Roman" w:eastAsia="Times New Roman" w:hAnsi="Times New Roman"/>
          <w:sz w:val="18"/>
          <w:szCs w:val="18"/>
          <w:color w:val="auto"/>
        </w:rPr>
      </w:pPr>
    </w:p>
    <w:p>
      <w:pPr>
        <w:ind w:left="1108" w:hanging="557"/>
        <w:spacing w:after="0"/>
        <w:tabs>
          <w:tab w:leader="none" w:pos="11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take-or-pay obligations contained in supply arrangements in the ordinary course of business;</w:t>
      </w:r>
    </w:p>
    <w:p>
      <w:pPr>
        <w:spacing w:after="0" w:line="160" w:lineRule="exact"/>
        <w:rPr>
          <w:rFonts w:ascii="Times New Roman" w:cs="Times New Roman" w:eastAsia="Times New Roman" w:hAnsi="Times New Roman"/>
          <w:sz w:val="18"/>
          <w:szCs w:val="18"/>
          <w:color w:val="auto"/>
        </w:rPr>
      </w:pPr>
    </w:p>
    <w:p>
      <w:pPr>
        <w:ind w:left="8" w:firstLine="543"/>
        <w:spacing w:after="0" w:line="250" w:lineRule="auto"/>
        <w:tabs>
          <w:tab w:leader="none" w:pos="11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purchased in the ordinary course of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268"/>
          </w:cols>
          <w:pgMar w:left="312" w:top="1207" w:right="319" w:bottom="1440" w:gutter="0" w:footer="0" w:header="0"/>
        </w:sectPr>
      </w:pPr>
    </w:p>
    <w:bookmarkStart w:id="81" w:name="page82"/>
    <w:bookmarkEnd w:id="81"/>
    <w:p>
      <w:pPr>
        <w:jc w:val="both"/>
        <w:ind w:firstLine="543"/>
        <w:spacing w:after="0" w:line="234" w:lineRule="auto"/>
        <w:tabs>
          <w:tab w:leader="none" w:pos="11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bankers’ acceptances, discounted bills of exchange, warehouse receipts or similar facilities or, without duplication of Indebtedness of the type referred to in clause (x) below, the discounting of receivables for collection purposes, in each case incurred or undertaken in the ordinary course of business;</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0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to suppliers, customers, franchisees, lessors, licensees, sub-licensees and distribution partners;</w:t>
      </w:r>
    </w:p>
    <w:p>
      <w:pPr>
        <w:spacing w:after="0" w:line="119" w:lineRule="exact"/>
        <w:rPr>
          <w:rFonts w:ascii="Times New Roman" w:cs="Times New Roman" w:eastAsia="Times New Roman" w:hAnsi="Times New Roman"/>
          <w:sz w:val="18"/>
          <w:szCs w:val="18"/>
          <w:color w:val="auto"/>
        </w:rPr>
      </w:pPr>
    </w:p>
    <w:p>
      <w:pPr>
        <w:jc w:val="both"/>
        <w:ind w:firstLine="543"/>
        <w:spacing w:after="0" w:line="234" w:lineRule="auto"/>
        <w:tabs>
          <w:tab w:leader="none" w:pos="10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Subordinated Indebtedness and any Permitted Refinancing Indebtedness in respect thereof in an aggregate principal amount not to exceed $[***]; provided that the aggregate principal amount of such Indebtedness shall not (when combined with the aggregate principal amount of Indebtedness incurred under clause (n) of the definition of “</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exceed $[***];</w:t>
      </w:r>
    </w:p>
    <w:p>
      <w:pPr>
        <w:spacing w:after="0" w:line="129"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Equity Derivatives and obligations under any Hedging Agreement;</w:t>
      </w:r>
    </w:p>
    <w:p>
      <w:pPr>
        <w:spacing w:after="0" w:line="160" w:lineRule="exact"/>
        <w:rPr>
          <w:rFonts w:ascii="Times New Roman" w:cs="Times New Roman" w:eastAsia="Times New Roman" w:hAnsi="Times New Roman"/>
          <w:sz w:val="18"/>
          <w:szCs w:val="18"/>
          <w:color w:val="auto"/>
        </w:rPr>
      </w:pPr>
    </w:p>
    <w:p>
      <w:pPr>
        <w:jc w:val="both"/>
        <w:ind w:firstLine="543"/>
        <w:spacing w:after="0" w:line="229" w:lineRule="auto"/>
        <w:tabs>
          <w:tab w:leader="none" w:pos="10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non-Guarantor Foreign Subsidiaries and the guarantees of any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or liquidation preference, as applicable, of Indebtedness incurred or guaranteed pursuant to this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at any time outstanding does not exceed $[***] and (ii) such Indebtedness is non-recourse to the Borrower and the Guarantors, and, if secured, is secured solely by assets of non-Guarantor Foreign Subsidiaries;</w:t>
      </w:r>
    </w:p>
    <w:p>
      <w:pPr>
        <w:spacing w:after="0" w:line="128"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Receivables Indebtedness and, to the extent constituting Indebtedness, any Permitted Royalty Monetization Transaction;</w:t>
      </w:r>
    </w:p>
    <w:p>
      <w:pPr>
        <w:spacing w:after="0" w:line="160" w:lineRule="exact"/>
        <w:rPr>
          <w:rFonts w:ascii="Times New Roman" w:cs="Times New Roman" w:eastAsia="Times New Roman" w:hAnsi="Times New Roman"/>
          <w:sz w:val="18"/>
          <w:szCs w:val="18"/>
          <w:color w:val="auto"/>
        </w:rPr>
      </w:pPr>
    </w:p>
    <w:p>
      <w:pPr>
        <w:jc w:val="both"/>
        <w:ind w:firstLine="543"/>
        <w:spacing w:after="0" w:line="220" w:lineRule="auto"/>
        <w:tabs>
          <w:tab w:leader="none" w:pos="10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in connection with Permitted Acquisitions or other Permitted Investments (including existing Indebtedness of a Person acquired in connection with a Permitted Acquisition or any such permitted Investment, provided such Indebtedness was not incurred in anticipation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 the aggregate amount of all such Indebtedness (when combined with the aggregate principal amount of Indebtedness incurred or assumed under </w:t>
      </w:r>
      <w:r>
        <w:rPr>
          <w:rFonts w:ascii="Times New Roman" w:cs="Times New Roman" w:eastAsia="Times New Roman" w:hAnsi="Times New Roman"/>
          <w:sz w:val="18"/>
          <w:szCs w:val="18"/>
          <w:u w:val="single" w:color="auto"/>
          <w:color w:val="auto"/>
        </w:rPr>
        <w:t>clauses (l)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this definition of “</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at any one time outstanding, shall not exceed $[***]; (ii) the obligors in respect of any such Indebtedness assumed in connection with a Permitted Acquisition or other Permitted Investment shall be solely the entities acquired in such Permitted Acquisition or such Permitted Investment and (iii) any such Indebtedness incurred (rather than assumed) in connection with Permitted Acquisitions or other Permitted Investments shall be solely Indebtedness of the Loan Parties (including any entities that will become Loan Parties in connection with such Permitted Acquisition or such Permitted Investment) and shall be unsecured and subordinated to the Obligations in a manner satisfactory to Administrative Agent and the Required Lenders; and</w:t>
      </w:r>
    </w:p>
    <w:p>
      <w:pPr>
        <w:spacing w:after="0" w:line="126"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Borrower and its Subsidiaries (other than intercompany Indebtedness), in an aggregate amount not to exceed at any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w:t>
      </w:r>
    </w:p>
    <w:p>
      <w:pPr>
        <w:spacing w:after="0" w:line="16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spacing w:after="0" w:line="126"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Investments</w:t>
      </w:r>
      <w:r>
        <w:rPr>
          <w:rFonts w:ascii="Times New Roman" w:cs="Times New Roman" w:eastAsia="Times New Roman" w:hAnsi="Times New Roman"/>
          <w:sz w:val="18"/>
          <w:szCs w:val="18"/>
          <w:color w:val="auto"/>
        </w:rPr>
        <w:t>” means Investments by (a) a Loan Party to or in another Loan Party, (b) a Subsidiary that is an Excluded Subsidiary to or in another Subsidiary that is an Excluded Subsidiary, (c) a Subsidiary that is an Excluded Subsidiary to or in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260"/>
          </w:cols>
          <w:pgMar w:left="320" w:top="1207" w:right="319" w:bottom="1440" w:gutter="0" w:footer="0" w:header="0"/>
        </w:sectPr>
      </w:pPr>
    </w:p>
    <w:bookmarkStart w:id="82" w:name="page83"/>
    <w:bookmarkEnd w:id="82"/>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Party, so long as, in the case of a loan or an advance, the parties thereto are party to an Intercompany Subordination Agreement, (d) Investments by the Loan Parties in Subsidiaries that are not Loan Parties to the extent such Investments constitute bona fide transfer pricing transactions, cost-sharing arrangements or “cost-plus” arrangements in the ordinary course of business; and (e) additional Investments by the Loan Parties in Subsidiaries that are not Loan Parties in an aggregate amount outstanding not to exceed at any time $[***];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Core Assets of [***] or Material Intellectual Property, may be assigned, transferred, contributed, licensed, sublicensed, or otherwise disposed by any Loan Party pursuant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60" w:lineRule="exact"/>
        <w:rPr>
          <w:sz w:val="20"/>
          <w:szCs w:val="20"/>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160"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owned as of the Closing Date in any Subsidiary;</w:t>
      </w:r>
    </w:p>
    <w:p>
      <w:pPr>
        <w:spacing w:after="0" w:line="160"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Investments;</w:t>
      </w:r>
    </w:p>
    <w:p>
      <w:pPr>
        <w:spacing w:after="0" w:line="160"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employees of Borrower and its Subsidiaries an aggregate amount not to exceed $[***] at any time outstanding;</w:t>
      </w:r>
    </w:p>
    <w:p>
      <w:pPr>
        <w:spacing w:after="0" w:line="160"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60"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on the Closing Date and described in Schedule 6.7;</w:t>
      </w:r>
    </w:p>
    <w:p>
      <w:pPr>
        <w:spacing w:after="0" w:line="160" w:lineRule="exact"/>
        <w:rPr>
          <w:rFonts w:ascii="Times New Roman" w:cs="Times New Roman" w:eastAsia="Times New Roman" w:hAnsi="Times New Roman"/>
          <w:sz w:val="18"/>
          <w:szCs w:val="18"/>
          <w:color w:val="auto"/>
        </w:rPr>
      </w:pPr>
    </w:p>
    <w:p>
      <w:pPr>
        <w:jc w:val="both"/>
        <w:ind w:firstLine="543"/>
        <w:spacing w:after="0" w:line="229" w:lineRule="auto"/>
        <w:tabs>
          <w:tab w:leader="none" w:pos="10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28"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negotiable instruments deposited or to be deposited for collection in the ordinary course of business;</w:t>
      </w:r>
    </w:p>
    <w:p>
      <w:pPr>
        <w:spacing w:after="0" w:line="160"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customary trade arrangements with customers;</w:t>
      </w:r>
    </w:p>
    <w:p>
      <w:pPr>
        <w:spacing w:after="0" w:line="160"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made in connection with purchases of goods or services in the ordinary course of business;</w:t>
      </w:r>
    </w:p>
    <w:p>
      <w:pPr>
        <w:spacing w:after="0" w:line="160"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0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similar businesses, Joint Ventures in an aggregate outstanding amount not to exceed $[***]; provided that such Investment shall not constitute a transfer of exclusive rights in any Core Assets of [***];</w:t>
      </w:r>
    </w:p>
    <w:p>
      <w:pPr>
        <w:spacing w:after="0" w:line="119"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Equity Derivatives;</w:t>
      </w:r>
    </w:p>
    <w:p>
      <w:pPr>
        <w:spacing w:after="0" w:line="160"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suppliers and customers and in settlement of delinquent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260"/>
          </w:cols>
          <w:pgMar w:left="320" w:top="120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obligations of, and other disputes with, customers and suppliers arising in the ordinary course of business;</w:t>
      </w:r>
    </w:p>
    <w:p>
      <w:pPr>
        <w:spacing w:after="0" w:line="160" w:lineRule="exact"/>
        <w:rPr>
          <w:sz w:val="20"/>
          <w:szCs w:val="20"/>
          <w:color w:val="auto"/>
        </w:rPr>
      </w:pPr>
    </w:p>
    <w:p>
      <w:pPr>
        <w:ind w:left="1100" w:hanging="557"/>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under Hedging Agreement permitted under this Agreement;</w:t>
      </w:r>
    </w:p>
    <w:p>
      <w:pPr>
        <w:spacing w:after="0" w:line="157"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of the non-cash consideration received from an Asset Sale that was made pursuant to and in compliance with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40"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made by the Borrower or its Subsidiaries in connection with any letter of intent or other agreement in respect of any Investment permitted by this Agreement;</w:t>
      </w:r>
    </w:p>
    <w:p>
      <w:pPr>
        <w:spacing w:after="0" w:line="119" w:lineRule="exact"/>
        <w:rPr>
          <w:rFonts w:ascii="Times New Roman" w:cs="Times New Roman" w:eastAsia="Times New Roman" w:hAnsi="Times New Roman"/>
          <w:sz w:val="18"/>
          <w:szCs w:val="18"/>
          <w:color w:val="auto"/>
        </w:rPr>
      </w:pPr>
    </w:p>
    <w:p>
      <w:pPr>
        <w:jc w:val="both"/>
        <w:ind w:firstLine="543"/>
        <w:spacing w:after="0" w:line="234" w:lineRule="auto"/>
        <w:tabs>
          <w:tab w:leader="none" w:pos="11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obligations of one or more officers or other employees of Borrower or any Subsidiary of the Borrower in connection with such officer’s or employee’s acquisition of Qualified Capital Stock of any direct or indirect parent of the Borrower, so long as no cash is actually advanced by the Borrower or any Subsidiary to such officers or employees in connection with the acquisition of any such obligations;</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1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operating leases or of other obligations, in each case, that do not constitute Indebtedness, and are entered into by the Borrower or any Subsidiary in the ordinary course of business;</w:t>
      </w:r>
    </w:p>
    <w:p>
      <w:pPr>
        <w:spacing w:after="0" w:line="116"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redemption, purchase, repurchase or retirement of any Capital Stock of Borrower permitted by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40" w:lineRule="exact"/>
        <w:rPr>
          <w:rFonts w:ascii="Times New Roman" w:cs="Times New Roman" w:eastAsia="Times New Roman" w:hAnsi="Times New Roman"/>
          <w:sz w:val="18"/>
          <w:szCs w:val="18"/>
          <w:color w:val="auto"/>
        </w:rPr>
      </w:pPr>
    </w:p>
    <w:p>
      <w:pPr>
        <w:jc w:val="both"/>
        <w:ind w:firstLine="543"/>
        <w:spacing w:after="0" w:line="229" w:lineRule="auto"/>
        <w:tabs>
          <w:tab w:leader="none" w:pos="10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Investments made with Qualified Capital Stock of the Borrower or from the Net Proceeds received by the Borrower from the sale of Qualified Capital Stock of the Borrower so long as (i) such Investments are made within [***] after the receipt of such proceeds and (ii) such proceeds have not otherwise been utilized for the making of any Permitted Acquisition, Restricted Junior Payment or for any other purpose;</w:t>
      </w:r>
    </w:p>
    <w:p>
      <w:pPr>
        <w:spacing w:after="0" w:line="128"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(other than Investments consisting of Core Assets or other Material Intellectual Property) in an aggregate amount outstanding not to exceed at any time $[***];</w:t>
      </w:r>
    </w:p>
    <w:p>
      <w:pPr>
        <w:spacing w:after="0" w:line="119"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Investments in non-profit Subsidiaries employing licensed medical practitioners for the purpose of paying corporate overhead and employee compensation; and</w:t>
      </w:r>
    </w:p>
    <w:p>
      <w:pPr>
        <w:spacing w:after="0" w:line="119"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to redeem or purchase the unvested portion of an award from a given service provider (or his/her successors, heirs, descendants and/or estates).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(i) all Investments by the Borrower or any Guarantor in Excluded Subsidiaries (other than any not-for-profit Subsidiary) shall be required to be made through the foregoing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all Investments by the Borrower or any Guarantor in Excluded Subsidiaries that are non-profit Subsidiaries shall be required to be made through the foregoing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(ii) no Investments may be made in Persons other than the Borrower or a Subsidiary with (A) Core Assets of Caris Strategic Data (other than,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1260"/>
          </w:cols>
          <w:pgMar w:left="320" w:top="1207" w:right="319" w:bottom="1440" w:gutter="0" w:footer="0" w:header="0"/>
        </w:sectPr>
      </w:pPr>
    </w:p>
    <w:bookmarkStart w:id="84" w:name="page85"/>
    <w:bookmarkEnd w:id="84"/>
    <w:p>
      <w:pPr>
        <w:spacing w:after="0" w:line="290" w:lineRule="auto"/>
        <w:rPr>
          <w:sz w:val="20"/>
          <w:szCs w:val="20"/>
          <w:color w:val="auto"/>
        </w:rPr>
      </w:pPr>
      <w:r>
        <w:rPr>
          <w:rFonts w:ascii="Times New Roman" w:cs="Times New Roman" w:eastAsia="Times New Roman" w:hAnsi="Times New Roman"/>
          <w:sz w:val="18"/>
          <w:szCs w:val="18"/>
          <w:color w:val="auto"/>
        </w:rPr>
        <w:t>the extent constituting an Investment, any license of Intellectual Property Rights of Caris Strategic Data otherwise permitted hereunder) or (B) Core Assets of [***].</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60" w:lineRule="exact"/>
        <w:rPr>
          <w:sz w:val="20"/>
          <w:szCs w:val="20"/>
          <w:color w:val="auto"/>
        </w:rPr>
      </w:pPr>
    </w:p>
    <w:p>
      <w:pPr>
        <w:ind w:left="1100" w:hanging="557"/>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Administrative Agent for the benefit of Secured Parties granted pursuant to any Loan Document;</w:t>
      </w:r>
    </w:p>
    <w:p>
      <w:pPr>
        <w:spacing w:after="0" w:line="160"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(i) not yet due and payable or (ii) if obligations with respect to such Taxes are being contested in good faith by appropriate proceedings promptly instituted and diligently conducted and reserves required by GAAP have been made;</w:t>
      </w:r>
    </w:p>
    <w:p>
      <w:pPr>
        <w:spacing w:after="0" w:line="119" w:lineRule="exact"/>
        <w:rPr>
          <w:rFonts w:ascii="Times New Roman" w:cs="Times New Roman" w:eastAsia="Times New Roman" w:hAnsi="Times New Roman"/>
          <w:sz w:val="18"/>
          <w:szCs w:val="18"/>
          <w:color w:val="auto"/>
        </w:rPr>
      </w:pPr>
    </w:p>
    <w:p>
      <w:pPr>
        <w:jc w:val="both"/>
        <w:ind w:right="20" w:firstLine="543"/>
        <w:spacing w:after="0" w:line="234"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banks (and rights of set off), of carriers, warehousemen, mechanics, repairmen, workmen and materialmen, and other Liens imposed by law (other than any such Lien imposed pursuant to Section 430(k) of the Internal Revenue Code or by ERISA), in each case incurred in the ordinary course of business for amounts not yet overdue;</w:t>
      </w:r>
    </w:p>
    <w:p>
      <w:pPr>
        <w:spacing w:after="0" w:line="129" w:lineRule="exact"/>
        <w:rPr>
          <w:rFonts w:ascii="Times New Roman" w:cs="Times New Roman" w:eastAsia="Times New Roman" w:hAnsi="Times New Roman"/>
          <w:sz w:val="18"/>
          <w:szCs w:val="18"/>
          <w:color w:val="auto"/>
        </w:rPr>
      </w:pPr>
    </w:p>
    <w:p>
      <w:pPr>
        <w:jc w:val="both"/>
        <w:ind w:firstLine="543"/>
        <w:spacing w:after="0"/>
        <w:tabs>
          <w:tab w:leader="none" w:pos="10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274" w:lineRule="exact"/>
        <w:rPr>
          <w:rFonts w:ascii="Times New Roman" w:cs="Times New Roman" w:eastAsia="Times New Roman" w:hAnsi="Times New Roman"/>
          <w:sz w:val="18"/>
          <w:szCs w:val="18"/>
          <w:color w:val="auto"/>
        </w:rPr>
      </w:pPr>
    </w:p>
    <w:p>
      <w:pPr>
        <w:ind w:firstLine="543"/>
        <w:spacing w:after="0" w:line="250"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encroachments, and other minor defects or irregularities in title, in each case, that do not and will not interfere in any material respect with the ordinary conduct of the business of Borrower or any of its Subsidiaries;</w:t>
      </w:r>
    </w:p>
    <w:p>
      <w:pPr>
        <w:spacing w:after="0" w:line="119"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lease of real estate permitted hereunder;</w:t>
      </w:r>
    </w:p>
    <w:p>
      <w:pPr>
        <w:spacing w:after="0" w:line="160"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permitted hereunder;</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0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16" w:lineRule="exact"/>
        <w:rPr>
          <w:rFonts w:ascii="Times New Roman" w:cs="Times New Roman" w:eastAsia="Times New Roman" w:hAnsi="Times New Roman"/>
          <w:sz w:val="18"/>
          <w:szCs w:val="18"/>
          <w:color w:val="auto"/>
        </w:rPr>
      </w:pPr>
    </w:p>
    <w:p>
      <w:pPr>
        <w:ind w:left="1080" w:hanging="53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office or agency to control or regulate the use of any real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140"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described in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only secure the Indebtedness that it secures on the Closing Date and any Permitted Refinancing Indebtedness in respect thereof;</w:t>
      </w:r>
    </w:p>
    <w:p>
      <w:pPr>
        <w:spacing w:after="0" w:line="119" w:lineRule="exact"/>
        <w:rPr>
          <w:rFonts w:ascii="Times New Roman" w:cs="Times New Roman" w:eastAsia="Times New Roman" w:hAnsi="Times New Roman"/>
          <w:sz w:val="18"/>
          <w:szCs w:val="18"/>
          <w:color w:val="auto"/>
        </w:rPr>
      </w:pPr>
    </w:p>
    <w:p>
      <w:pPr>
        <w:ind w:firstLine="543"/>
        <w:spacing w:after="0" w:line="250" w:lineRule="auto"/>
        <w:tabs>
          <w:tab w:leader="none" w:pos="10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Capital Leases or purchase money Indebtedness permitted pursuant to clause (h) of the definition of Permitted Indebtedness; provided, any such Lien shall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260"/>
          </w:cols>
          <w:pgMar w:left="320" w:top="1230" w:right="319" w:bottom="1440" w:gutter="0" w:footer="0" w:header="0"/>
        </w:sectPr>
      </w:pPr>
    </w:p>
    <w:bookmarkStart w:id="85" w:name="page86"/>
    <w:bookmarkEnd w:id="85"/>
    <w:p>
      <w:pPr>
        <w:ind w:left="8"/>
        <w:spacing w:after="0"/>
        <w:rPr>
          <w:sz w:val="20"/>
          <w:szCs w:val="20"/>
          <w:color w:val="auto"/>
        </w:rPr>
      </w:pPr>
      <w:r>
        <w:rPr>
          <w:rFonts w:ascii="Times New Roman" w:cs="Times New Roman" w:eastAsia="Times New Roman" w:hAnsi="Times New Roman"/>
          <w:sz w:val="18"/>
          <w:szCs w:val="18"/>
          <w:color w:val="auto"/>
        </w:rPr>
        <w:t>encumber only the asset subject to such Capital Lease or the asset acquired with the proceeds of such Indebtedness;</w:t>
      </w:r>
    </w:p>
    <w:p>
      <w:pPr>
        <w:spacing w:after="0" w:line="160" w:lineRule="exact"/>
        <w:rPr>
          <w:sz w:val="20"/>
          <w:szCs w:val="20"/>
          <w:color w:val="auto"/>
        </w:rPr>
      </w:pPr>
    </w:p>
    <w:p>
      <w:pPr>
        <w:ind w:left="8" w:firstLine="543"/>
        <w:spacing w:after="0" w:line="250" w:lineRule="auto"/>
        <w:tabs>
          <w:tab w:leader="none" w:pos="11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19" w:lineRule="exact"/>
        <w:rPr>
          <w:rFonts w:ascii="Times New Roman" w:cs="Times New Roman" w:eastAsia="Times New Roman" w:hAnsi="Times New Roman"/>
          <w:sz w:val="18"/>
          <w:szCs w:val="18"/>
          <w:color w:val="auto"/>
        </w:rPr>
      </w:pPr>
    </w:p>
    <w:p>
      <w:pPr>
        <w:jc w:val="both"/>
        <w:ind w:left="8" w:firstLine="543"/>
        <w:spacing w:after="0" w:line="229" w:lineRule="auto"/>
        <w:tabs>
          <w:tab w:leader="none" w:pos="11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assumed by Borrower and its Subsidiaries in connection with a Permitted Acquisition that secure assumed Indebtedness permitted by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of the definition of Permitted Indebtedness; provided that (i) such Indebtedness was in existence prior to the date of such Permitted Acquisition and was not incurred in connection with, or in contemplation of, such Permitted Acquisition, and (ii) such Liens shall only encumber the assets that secured such Indebtedness immediately prior to such Permitted Acquisition;</w:t>
      </w:r>
    </w:p>
    <w:p>
      <w:pPr>
        <w:spacing w:after="0" w:line="128" w:lineRule="exact"/>
        <w:rPr>
          <w:rFonts w:ascii="Times New Roman" w:cs="Times New Roman" w:eastAsia="Times New Roman" w:hAnsi="Times New Roman"/>
          <w:sz w:val="18"/>
          <w:szCs w:val="18"/>
          <w:color w:val="auto"/>
        </w:rPr>
      </w:pPr>
    </w:p>
    <w:p>
      <w:pPr>
        <w:jc w:val="both"/>
        <w:ind w:left="8" w:firstLine="543"/>
        <w:spacing w:after="0" w:line="224" w:lineRule="auto"/>
        <w:tabs>
          <w:tab w:leader="none" w:pos="11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solely on any cash deposits securing Indebtedness permitted pursuant to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the definition of Permitted Indebtedness not in excess of [***]% of the face amount of such Indebtedness secured thereby, (ii) Liens securing Indebtedness permitted pursuant to </w:t>
      </w:r>
      <w:r>
        <w:rPr>
          <w:rFonts w:ascii="Times New Roman" w:cs="Times New Roman" w:eastAsia="Times New Roman" w:hAnsi="Times New Roman"/>
          <w:sz w:val="18"/>
          <w:szCs w:val="18"/>
          <w:u w:val="single" w:color="auto"/>
          <w:color w:val="auto"/>
        </w:rPr>
        <w:t>clauses (p)</w:t>
      </w:r>
      <w:r>
        <w:rPr>
          <w:rFonts w:ascii="Times New Roman" w:cs="Times New Roman" w:eastAsia="Times New Roman" w:hAnsi="Times New Roman"/>
          <w:sz w:val="18"/>
          <w:szCs w:val="18"/>
          <w:color w:val="auto"/>
        </w:rPr>
        <w:t xml:space="preserve"> or</w:t>
      </w:r>
    </w:p>
    <w:p>
      <w:pPr>
        <w:spacing w:after="0" w:line="1"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Permitted Indebtedness;</w:t>
      </w:r>
    </w:p>
    <w:p>
      <w:pPr>
        <w:spacing w:after="0" w:line="140" w:lineRule="exact"/>
        <w:rPr>
          <w:rFonts w:ascii="Times New Roman" w:cs="Times New Roman" w:eastAsia="Times New Roman" w:hAnsi="Times New Roman"/>
          <w:sz w:val="18"/>
          <w:szCs w:val="18"/>
          <w:u w:val="single" w:color="auto"/>
          <w:color w:val="auto"/>
        </w:rPr>
      </w:pPr>
    </w:p>
    <w:p>
      <w:pPr>
        <w:ind w:left="8" w:firstLine="543"/>
        <w:spacing w:after="0" w:line="250"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vendors or suppliers of such Person in the ordinary course of business to the extent encumbering property purchased from or provided by such vendors or suppliers and the proceeds thereof;</w:t>
      </w:r>
    </w:p>
    <w:p>
      <w:pPr>
        <w:spacing w:after="0" w:line="116" w:lineRule="exact"/>
        <w:rPr>
          <w:rFonts w:ascii="Times New Roman" w:cs="Times New Roman" w:eastAsia="Times New Roman" w:hAnsi="Times New Roman"/>
          <w:sz w:val="18"/>
          <w:szCs w:val="18"/>
          <w:color w:val="auto"/>
        </w:rPr>
      </w:pPr>
    </w:p>
    <w:p>
      <w:pPr>
        <w:ind w:left="1108" w:hanging="557"/>
        <w:spacing w:after="0"/>
        <w:tabs>
          <w:tab w:leader="none" w:pos="110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judgments, writs or warrants of attachment or similar process not constituting an Event of Default under</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left="8" w:firstLine="543"/>
        <w:spacing w:after="0" w:line="229" w:lineRule="auto"/>
        <w:tabs>
          <w:tab w:leader="none" w:pos="111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subleases, licenses or sublicenses (in each case, other than with respect to Core Assets of [***]) that are (i) permitted by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(ii) excluded from the definition of Asset Sale, (iii) licenses with respect to the data of Caris Strategic Data permitted hereunder, or (iv) otherwise of Intellectual Property Rights and permitted under this Agreement or the other Loan Documents, and restrictions under licenses of Intellectual Property Rights entered into in the ordinary course of business pursuant to which the Borrower or any Subsidiary is a licensee;</w:t>
      </w:r>
    </w:p>
    <w:p>
      <w:pPr>
        <w:spacing w:after="0" w:line="128" w:lineRule="exact"/>
        <w:rPr>
          <w:rFonts w:ascii="Times New Roman" w:cs="Times New Roman" w:eastAsia="Times New Roman" w:hAnsi="Times New Roman"/>
          <w:sz w:val="18"/>
          <w:szCs w:val="18"/>
          <w:color w:val="auto"/>
        </w:rPr>
      </w:pPr>
    </w:p>
    <w:p>
      <w:pPr>
        <w:jc w:val="both"/>
        <w:ind w:left="8" w:firstLine="543"/>
        <w:spacing w:after="0"/>
        <w:tabs>
          <w:tab w:leader="none" w:pos="110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provided, that, unless such Liens are non-consensual and arise by operation of law, in no case shall any such Liens secure (either directly or indirectly) the repayment of any Indebtedness;</w:t>
      </w:r>
    </w:p>
    <w:p>
      <w:pPr>
        <w:spacing w:after="0" w:line="251" w:lineRule="exact"/>
        <w:rPr>
          <w:rFonts w:ascii="Times New Roman" w:cs="Times New Roman" w:eastAsia="Times New Roman" w:hAnsi="Times New Roman"/>
          <w:sz w:val="18"/>
          <w:szCs w:val="18"/>
          <w:color w:val="auto"/>
        </w:rPr>
      </w:pPr>
    </w:p>
    <w:p>
      <w:pPr>
        <w:jc w:val="both"/>
        <w:ind w:left="8" w:firstLine="543"/>
        <w:spacing w:after="0" w:line="234" w:lineRule="auto"/>
        <w:tabs>
          <w:tab w:leader="none" w:pos="11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that are within the general parameters customary in the banking or finance industry;</w:t>
      </w:r>
    </w:p>
    <w:p>
      <w:pPr>
        <w:spacing w:after="0" w:line="129" w:lineRule="exact"/>
        <w:rPr>
          <w:rFonts w:ascii="Times New Roman" w:cs="Times New Roman" w:eastAsia="Times New Roman" w:hAnsi="Times New Roman"/>
          <w:sz w:val="18"/>
          <w:szCs w:val="18"/>
          <w:color w:val="auto"/>
        </w:rPr>
      </w:pPr>
    </w:p>
    <w:p>
      <w:pPr>
        <w:jc w:val="both"/>
        <w:ind w:left="8" w:firstLine="543"/>
        <w:spacing w:after="0" w:line="229"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solely on accounts receivable and related rights of payment, in each case arising from the sale of goods or services in the ordinary course of business, (ii) securing Permitted Receivables Indebtedness of the Borrower or Subsidiary that is the obligor with respect to such Permitted Receivables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 under the facility governing such Permitted Receivables Indebtedness shall have entered into a customary intercreditor agreement with the Administrative Agent in form and substance reasonably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1268"/>
          </w:cols>
          <w:pgMar w:left="312" w:top="1207" w:right="319" w:bottom="1440" w:gutter="0" w:footer="0" w:header="0"/>
        </w:sectPr>
      </w:pPr>
    </w:p>
    <w:bookmarkStart w:id="86" w:name="page87"/>
    <w:bookmarkEnd w:id="86"/>
    <w:p>
      <w:pPr>
        <w:spacing w:after="0" w:line="250" w:lineRule="auto"/>
        <w:rPr>
          <w:sz w:val="20"/>
          <w:szCs w:val="20"/>
          <w:color w:val="auto"/>
        </w:rPr>
      </w:pPr>
      <w:r>
        <w:rPr>
          <w:rFonts w:ascii="Times New Roman" w:cs="Times New Roman" w:eastAsia="Times New Roman" w:hAnsi="Times New Roman"/>
          <w:sz w:val="18"/>
          <w:szCs w:val="18"/>
          <w:color w:val="auto"/>
        </w:rPr>
        <w:t>satisfactory to the Administrative Agent and the Required Lenders or (iii) to the extent constituting a Lien, securing obligations in respect of any Permitted Royalty Monetization Transaction;</w:t>
      </w:r>
    </w:p>
    <w:p>
      <w:pPr>
        <w:spacing w:after="0" w:line="120" w:lineRule="exact"/>
        <w:rPr>
          <w:sz w:val="20"/>
          <w:szCs w:val="20"/>
          <w:color w:val="auto"/>
        </w:rPr>
      </w:pPr>
    </w:p>
    <w:p>
      <w:pPr>
        <w:jc w:val="both"/>
        <w:ind w:firstLine="543"/>
        <w:spacing w:after="0" w:line="234"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0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or from UCC financing statement filings regarding, operating leases or consignments entered into by the Borrower or its Subsidiaries in the ordinary course of business;</w:t>
      </w:r>
    </w:p>
    <w:p>
      <w:pPr>
        <w:spacing w:after="0" w:line="119"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19"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any put and call arrangements, related to Capital Stock in any Joint Venture set forth in the Organizational Documents of such Joint Venture or any related joint venture, shareholders’ or similar agreement;</w:t>
      </w:r>
    </w:p>
    <w:p>
      <w:pPr>
        <w:spacing w:after="0" w:line="119"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60" w:lineRule="exact"/>
        <w:rPr>
          <w:sz w:val="20"/>
          <w:szCs w:val="20"/>
          <w:color w:val="auto"/>
        </w:rPr>
      </w:pPr>
    </w:p>
    <w:p>
      <w:pPr>
        <w:ind w:firstLine="543"/>
        <w:spacing w:after="0" w:line="250" w:lineRule="auto"/>
        <w:tabs>
          <w:tab w:leader="none" w:pos="11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Cash Equivalents securing obligations (i) under Hedging Agreements in an aggregate amount not in excess of $[***] and (ii) in respect of Permitted Equity Derivatives, in each case, as permitted pursuant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of the definition of “Permitted Indebtedness”;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(ab)</w:t>
            </w:r>
          </w:p>
        </w:tc>
        <w:tc>
          <w:tcPr>
            <w:tcW w:w="10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Liens securing obligations of non-Loan Parties permitted pursuant to clause (w) of the definition of Permitted Indebtedness so long as</w:t>
            </w:r>
          </w:p>
        </w:tc>
      </w:tr>
      <w:tr>
        <w:trPr>
          <w:trHeight w:val="22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such Liens do not encumber any assets of the Loan Parties; and</w:t>
            </w:r>
          </w:p>
        </w:tc>
        <w:tc>
          <w:tcPr>
            <w:tcW w:w="78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320"/>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w:t>
            </w:r>
          </w:p>
        </w:tc>
        <w:tc>
          <w:tcPr>
            <w:tcW w:w="10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Liens incurred in the ordinary course of business of Borrower or any Subsidiary of Borrower with respect to obligations in</w:t>
            </w:r>
          </w:p>
        </w:tc>
      </w:tr>
    </w:tbl>
    <w:p>
      <w:pPr>
        <w:spacing w:after="0"/>
        <w:rPr>
          <w:sz w:val="20"/>
          <w:szCs w:val="20"/>
          <w:color w:val="auto"/>
        </w:rPr>
      </w:pPr>
      <w:r>
        <w:rPr>
          <w:rFonts w:ascii="Times New Roman" w:cs="Times New Roman" w:eastAsia="Times New Roman" w:hAnsi="Times New Roman"/>
          <w:sz w:val="18"/>
          <w:szCs w:val="18"/>
          <w:color w:val="auto"/>
        </w:rPr>
        <w:t>aggregate amount outstanding not to exceed at any time $[***].</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Indebtedness</w:t>
      </w:r>
      <w:r>
        <w:rPr>
          <w:rFonts w:ascii="Times New Roman" w:cs="Times New Roman" w:eastAsia="Times New Roman" w:hAnsi="Times New Roman"/>
          <w:sz w:val="18"/>
          <w:szCs w:val="18"/>
          <w:color w:val="auto"/>
        </w:rPr>
        <w:t>” means [***].</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any Indebtedness of Borrower or any of its Subsidiaries issued in exchange for, or the net proceeds of which are used to renew, refund, refinance, replace, defease or discharge other Indebtedness (the “</w:t>
      </w:r>
      <w:r>
        <w:rPr>
          <w:rFonts w:ascii="Times New Roman" w:cs="Times New Roman" w:eastAsia="Times New Roman" w:hAnsi="Times New Roman"/>
          <w:sz w:val="18"/>
          <w:szCs w:val="18"/>
          <w:u w:val="single" w:color="auto"/>
          <w:color w:val="auto"/>
        </w:rPr>
        <w:t>Refinanced Indebtedness</w:t>
      </w:r>
      <w:r>
        <w:rPr>
          <w:rFonts w:ascii="Times New Roman" w:cs="Times New Roman" w:eastAsia="Times New Roman" w:hAnsi="Times New Roman"/>
          <w:sz w:val="18"/>
          <w:szCs w:val="18"/>
          <w:color w:val="auto"/>
        </w:rPr>
        <w:t xml:space="preserve">”) of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29" w:lineRule="exact"/>
        <w:rPr>
          <w:sz w:val="20"/>
          <w:szCs w:val="20"/>
          <w:color w:val="auto"/>
        </w:rPr>
      </w:pPr>
    </w:p>
    <w:p>
      <w:pPr>
        <w:jc w:val="both"/>
        <w:ind w:firstLine="543"/>
        <w:spacing w:after="0" w:line="234"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later than the final maturity date of, and has a Weighted Average Life to Maturity equal to or greater than the Weighted Average Life to Maturity of, the applicable Refinanced Indebtedness;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1260"/>
          </w:cols>
          <w:pgMar w:left="320" w:top="1207" w:right="319" w:bottom="1440" w:gutter="0" w:footer="0" w:header="0"/>
        </w:sectPr>
      </w:pPr>
    </w:p>
    <w:bookmarkStart w:id="87" w:name="page88"/>
    <w:bookmarkEnd w:id="87"/>
    <w:p>
      <w:pPr>
        <w:jc w:val="both"/>
        <w:ind w:firstLine="543"/>
        <w:spacing w:after="0" w:line="234"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Refinanced Indebtedness is subordinated to the Obligations (in right of payment, lien or otherwise), such Permitted Refinancing Indebtedness is subordinated to the Obligations on terms at least as favorable to Administrative Agent and the Lenders as those contained in the documentation governing the Refinanced Indebtedness;</w:t>
      </w:r>
    </w:p>
    <w:p>
      <w:pPr>
        <w:spacing w:after="0" w:line="129"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obligors and guarantors in respect of such Refinanced Indebtedness shall remain the same (or constitute a subset thereof);</w:t>
      </w:r>
    </w:p>
    <w:p>
      <w:pPr>
        <w:spacing w:after="0" w:line="160" w:lineRule="exact"/>
        <w:rPr>
          <w:rFonts w:ascii="Times New Roman" w:cs="Times New Roman" w:eastAsia="Times New Roman" w:hAnsi="Times New Roman"/>
          <w:sz w:val="18"/>
          <w:szCs w:val="18"/>
          <w:color w:val="auto"/>
        </w:rPr>
      </w:pPr>
    </w:p>
    <w:p>
      <w:pPr>
        <w:ind w:firstLine="543"/>
        <w:spacing w:after="0" w:line="250"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shall not be secured by a Lien or other security interest on any assets other than the assets securing the applicable Refinanced Indebtedness;</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1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Permitted Subordinated Indebtedness, such Indebtedness complies with the terms set forth in the proviso of the definition of Permitted Subordinated Indebtedness; and</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0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Permitted Convertible Indebtedness, such Indebtedness complies with the terms set forth in the proviso of the definition of Permitted Convertible Indebtedness.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Royalty Monetization Transaction</w:t>
      </w:r>
      <w:r>
        <w:rPr>
          <w:rFonts w:ascii="Times New Roman" w:cs="Times New Roman" w:eastAsia="Times New Roman" w:hAnsi="Times New Roman"/>
          <w:sz w:val="18"/>
          <w:szCs w:val="18"/>
          <w:color w:val="auto"/>
        </w:rPr>
        <w:t>” means [***].</w:t>
      </w:r>
    </w:p>
    <w:p>
      <w:pPr>
        <w:spacing w:after="0" w:line="160"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Subordinated Indebtedness</w:t>
      </w:r>
      <w:r>
        <w:rPr>
          <w:rFonts w:ascii="Times New Roman" w:cs="Times New Roman" w:eastAsia="Times New Roman" w:hAnsi="Times New Roman"/>
          <w:sz w:val="18"/>
          <w:szCs w:val="18"/>
          <w:color w:val="auto"/>
        </w:rPr>
        <w:t>” means Indebtedness that is unsecured or subordinated to the Obligations pursuant to a written subordination agreement satisfactory to the Administrative Agent and the Required Lenders in their sole discretion; provided that such Indebtedness (a) shall not include covenants and defaults that are, taken as a whole, more restrictive on the Loan Parties than the provisions of this Agreement [***], (b) such Indebtedness shall not (i) mature or be mandatorily redeemable, pursuant to a sinking fund obligation or otherwise, (ii) be redeemable at the option of the holder thereof, in whole or in part or (iii) provide for any payments of principal or other cash payments, in each case of the foregoing sub-clauses (i), (ii) and (iii), prior to the date that is [***] after the Latest Maturity Date (it being understood, for the avoidance of doubt, that (1) a redemption right of the Borrower in respect of such Indebtedness, (2) conversion rights of holders in respect of such Indebtedness, (3) acceleration rights of holders of such Indebtedness upon the occurrence of an event of default specified in the agreement governing such Indebtedness and (4) the obligation to pay customary amounts to holders of such Indebtedness in connection with an asset disposition, casualty event, “change of control” or “fundamental change”, in each case, shall not be considered in connection with the determination of scheduled maturity date for purposes of this clause (x)), (y) such indebtedness shall not be incurred or guaranteed by any person that is not a Guarantor and (z) any cash interest rate on such indebtedness shall not exceed [***] at any time prior to the date that is [***] after the Term Loan Maturity Date.</w:t>
      </w:r>
    </w:p>
    <w:p>
      <w:pPr>
        <w:spacing w:after="0" w:line="132"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data that is capable of identifying a natural person or that is otherwise considered personally identifiable information, personal information, personal data, consumer health data, nonpublic personal information or any term substantially equivalent to any of the foregoing under applicable Privacy Laws, including Protected Health Information.</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and Security Agreement</w:t>
      </w:r>
      <w:r>
        <w:rPr>
          <w:rFonts w:ascii="Times New Roman" w:cs="Times New Roman" w:eastAsia="Times New Roman" w:hAnsi="Times New Roman"/>
          <w:sz w:val="18"/>
          <w:szCs w:val="18"/>
          <w:color w:val="auto"/>
        </w:rPr>
        <w:t>” means the Pledge and Security Agreement executed by Grantors in favor of Administrative Agent for the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260"/>
          </w:cols>
          <w:pgMar w:left="320" w:top="1207" w:right="319" w:bottom="1440" w:gutter="0" w:footer="0" w:header="0"/>
        </w:sectPr>
      </w:pPr>
    </w:p>
    <w:bookmarkStart w:id="88" w:name="page89"/>
    <w:bookmarkEnd w:id="88"/>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 has the meaning specified in the Lender Fee Letter.</w:t>
      </w:r>
    </w:p>
    <w:p>
      <w:pPr>
        <w:spacing w:after="0" w:line="156" w:lineRule="exact"/>
        <w:rPr>
          <w:sz w:val="20"/>
          <w:szCs w:val="20"/>
          <w:color w:val="auto"/>
        </w:rPr>
      </w:pPr>
    </w:p>
    <w:p>
      <w:pPr>
        <w:jc w:val="both"/>
        <w:ind w:firstLine="551"/>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quoted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Money Rates Section as the Prime Rate (currently defined as the base rate on corporate loans posted by at least [***]% of the nation’s 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means Administrative Agent’s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or such other office as such Person may from time to time designate in writing to Borrower and each Lender.</w:t>
      </w:r>
    </w:p>
    <w:p>
      <w:pPr>
        <w:spacing w:after="0" w:line="12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each law applicable to privacy and the protection, security and processing of Personal Data, including as applicable HIPAA, laws related to localization of Personal Data, laws related to online behavioral advertising or the tracking or monitoring of online activity, laws related to consumer protection laws as applied in the context of data privacy, data breach notification, and electronic communications, including laws related to direct marketing such as the Telephone Consumer Protection Act (TCPA) and CAN-SPAM, and binding rules under the Payment Card Industry Data Security Standards, in each case, solely to the extent applicable to the business of the Borrower or its Subsidiaries.</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w:t>
      </w:r>
    </w:p>
    <w:p>
      <w:pPr>
        <w:spacing w:after="0" w:line="160" w:lineRule="exact"/>
        <w:rPr>
          <w:sz w:val="20"/>
          <w:szCs w:val="20"/>
          <w:color w:val="auto"/>
        </w:rPr>
      </w:pPr>
    </w:p>
    <w:p>
      <w:pPr>
        <w:jc w:val="both"/>
        <w:ind w:firstLine="543"/>
        <w:spacing w:after="0" w:line="234"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Lender’s obligation to make the Initial Term Loan or the Delayed Draw Term Loan, the percentage obtained by dividing (A) such Lender’s Term Loan Commitment by (B) the Total Term Loan Commitment; and (ii) a Lender’s right to make an Incremental Term Loan, the percentage obtained by dividing (A) such Lender’s outstanding Term Loans by (B) the aggregate amount of all Lenders’ outstanding Term Loans;</w:t>
      </w:r>
    </w:p>
    <w:p>
      <w:pPr>
        <w:spacing w:after="0" w:line="129" w:lineRule="exact"/>
        <w:rPr>
          <w:rFonts w:ascii="Times New Roman" w:cs="Times New Roman" w:eastAsia="Times New Roman" w:hAnsi="Times New Roman"/>
          <w:sz w:val="18"/>
          <w:szCs w:val="18"/>
          <w:color w:val="auto"/>
        </w:rPr>
      </w:pPr>
    </w:p>
    <w:p>
      <w:pPr>
        <w:ind w:firstLine="543"/>
        <w:spacing w:after="0" w:line="250" w:lineRule="auto"/>
        <w:tabs>
          <w:tab w:leader="none" w:pos="10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right to receive payments of interest, fees and principal with respect to a Term Loan, the percentage obtained by dividing (i) the aggregate unpaid principal amount of such Lender’s portion of the Term Loan, by (ii) the aggregate unpaid principal amount of the Term Loan; and</w:t>
      </w:r>
    </w:p>
    <w:p>
      <w:pPr>
        <w:spacing w:after="0" w:line="119" w:lineRule="exact"/>
        <w:rPr>
          <w:rFonts w:ascii="Times New Roman" w:cs="Times New Roman" w:eastAsia="Times New Roman" w:hAnsi="Times New Roman"/>
          <w:sz w:val="18"/>
          <w:szCs w:val="18"/>
          <w:color w:val="auto"/>
        </w:rPr>
      </w:pPr>
    </w:p>
    <w:p>
      <w:pPr>
        <w:ind w:right="20" w:firstLine="543"/>
        <w:spacing w:after="0" w:line="250"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matters, the percentage obtained by dividing (i) the unpaid principal amount of such Lender’s portion of the Term Loan, by (ii) the aggregate unpaid principal amount of the Term Loan.</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Protected Health Information</w:t>
      </w:r>
      <w:r>
        <w:rPr>
          <w:rFonts w:ascii="Times New Roman" w:cs="Times New Roman" w:eastAsia="Times New Roman" w:hAnsi="Times New Roman"/>
          <w:sz w:val="18"/>
          <w:szCs w:val="18"/>
          <w:color w:val="auto"/>
        </w:rPr>
        <w:t>” has the same meaning as “protected health information” in 45 C.F.R. § 160.103.</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Laws</w:t>
      </w:r>
      <w:r>
        <w:rPr>
          <w:rFonts w:ascii="Times New Roman" w:cs="Times New Roman" w:eastAsia="Times New Roman" w:hAnsi="Times New Roman"/>
          <w:sz w:val="18"/>
          <w:szCs w:val="18"/>
          <w:color w:val="auto"/>
        </w:rPr>
        <w:t>” means all Requirements of Law relating to the (a) development, clinical and non-clinical evaluation, product approval or licensure, manufacture, production, analysis, distribution, importation, exportation, use, handling, quality, sale, labeling, promotion, clinical trial registration or post market requirements of any device products subject to regulation under the Federal Food, Drug, and Cosmetic Act (21 U.S.C. § 301 et seq.), including without limitation the regulations promulgated by the FDA at Title 21 of the Code of Federal Regulations, and comparable foreign legislation issued by other comparable Governmental Authorities, including foreign Governmental Authorities; and (b) CLIA.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1260"/>
          </w:cols>
          <w:pgMar w:left="320" w:top="1207" w:right="319" w:bottom="1440" w:gutter="0" w:footer="0" w:header="0"/>
        </w:sectPr>
      </w:pPr>
    </w:p>
    <w:bookmarkStart w:id="89" w:name="page90"/>
    <w:bookmarkEnd w:id="89"/>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with respect to any Person, all Capital Stock of such Person that are not Disqualified Capital Stock.</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Cash</w:t>
      </w:r>
      <w:r>
        <w:rPr>
          <w:rFonts w:ascii="Times New Roman" w:cs="Times New Roman" w:eastAsia="Times New Roman" w:hAnsi="Times New Roman"/>
          <w:sz w:val="18"/>
          <w:szCs w:val="18"/>
          <w:color w:val="auto"/>
        </w:rPr>
        <w:t xml:space="preserve">” means, as of any date of determination, the amount of unrestricted Cash and Cash Equivalents (other than restrictions created by the Collateral Documents) of the Loan Parties that is in Deposit Accounts or in Securities Accounts, or any combination thereof, which such Deposit Accounts and/or Securities Accounts are (after the relevant post-closing period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subject to a Control Agreement.</w:t>
      </w:r>
    </w:p>
    <w:p>
      <w:pPr>
        <w:spacing w:after="0" w:line="129"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Asset</w:t>
      </w:r>
      <w:r>
        <w:rPr>
          <w:rFonts w:ascii="Times New Roman" w:cs="Times New Roman" w:eastAsia="Times New Roman" w:hAnsi="Times New Roman"/>
          <w:sz w:val="18"/>
          <w:szCs w:val="18"/>
          <w:color w:val="auto"/>
        </w:rPr>
        <w:t>” means, at any time of determination, any Real Property owned by a Loan Party, but only to the extent such Real Property constitutes Collateral and is encumbered by a Mortgage pursuant to the terms of this Agreement.</w:t>
      </w:r>
    </w:p>
    <w:p>
      <w:pPr>
        <w:spacing w:after="0" w:line="12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any real property (including all buildings, fixtures or other improvements located thereon) now, hereafter or heretofore owned, leased, operated or used by Borrower or any of its Subsidiaries.</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means an amendment to this Agreement in form and substance reasonably satisfactory to the Administrative Agent and the Borrower executed by each of (a) Borrower and the Guarantors, (b) the Administrative Agent and (c) each Lender that agrees to provide all or any portion of the Replacement Term Loans being incurred pursuant thereto and in accordance with </w:t>
      </w:r>
      <w:r>
        <w:rPr>
          <w:rFonts w:ascii="Times New Roman" w:cs="Times New Roman" w:eastAsia="Times New Roman" w:hAnsi="Times New Roman"/>
          <w:sz w:val="18"/>
          <w:szCs w:val="18"/>
          <w:u w:val="single" w:color="auto"/>
          <w:color w:val="auto"/>
        </w:rPr>
        <w:t>Section 10.5(e)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registrations, or listings, issued by any Governmental Authority that are required for the research, development, manufacture, commercialization, distribution, marketing, storage, transportation, use and sale of Products.</w:t>
      </w:r>
    </w:p>
    <w:p>
      <w:pPr>
        <w:spacing w:after="0" w:line="321"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means any Governmental Authority that is concerned with the use, control, safety, efficacy, manufacturing, testing, marketing, distribution, sale, promotion, billing, reimbursement or other product development and commercialization activities relating to any Product of the Borrower or any of the Subsidiaries, including CMS, FDA, DOJ, OIG, and all similar agencies in other jurisdictions, including non United States jurisdictions.</w:t>
      </w:r>
    </w:p>
    <w:p>
      <w:pPr>
        <w:spacing w:after="0" w:line="129"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Authorizations</w:t>
      </w:r>
      <w:r>
        <w:rPr>
          <w:rFonts w:ascii="Times New Roman" w:cs="Times New Roman" w:eastAsia="Times New Roman" w:hAnsi="Times New Roman"/>
          <w:sz w:val="18"/>
          <w:szCs w:val="18"/>
          <w:color w:val="auto"/>
        </w:rPr>
        <w:t>” means all approvals, clearances, licenses, authorizations, orders, exemptions, registrations, listings, certifications, licenses and Permits granted by, or obtained from any Governmental Authority or Regulatory Agencies necessary in any applicable country or jurisdiction.</w:t>
      </w:r>
    </w:p>
    <w:p>
      <w:pPr>
        <w:spacing w:after="0" w:line="3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of Governors of the Federal Reserve System, as in effect from time to time.</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260"/>
          </w:cols>
          <w:pgMar w:left="320" w:top="1207" w:right="319" w:bottom="1440" w:gutter="0" w:footer="0" w:header="0"/>
        </w:sectPr>
      </w:pPr>
    </w:p>
    <w:bookmarkStart w:id="90" w:name="page91"/>
    <w:bookmarkEnd w:id="90"/>
    <w:p>
      <w:pPr>
        <w:ind w:left="8"/>
        <w:spacing w:after="0"/>
        <w:rPr>
          <w:sz w:val="20"/>
          <w:szCs w:val="20"/>
          <w:color w:val="auto"/>
        </w:rPr>
      </w:pPr>
      <w:r>
        <w:rPr>
          <w:rFonts w:ascii="Times New Roman" w:cs="Times New Roman" w:eastAsia="Times New Roman" w:hAnsi="Times New Roman"/>
          <w:sz w:val="18"/>
          <w:szCs w:val="18"/>
          <w:color w:val="auto"/>
        </w:rPr>
        <w:t>Material), including the movement of any Hazardous Material through the air, soil, surface water or groundwater.</w:t>
      </w:r>
    </w:p>
    <w:p>
      <w:pPr>
        <w:spacing w:after="0" w:line="160" w:lineRule="exact"/>
        <w:rPr>
          <w:sz w:val="20"/>
          <w:szCs w:val="20"/>
          <w:color w:val="auto"/>
        </w:rPr>
      </w:pPr>
    </w:p>
    <w:p>
      <w:pPr>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20" w:lineRule="exact"/>
        <w:rPr>
          <w:sz w:val="20"/>
          <w:szCs w:val="20"/>
          <w:color w:val="auto"/>
        </w:rPr>
      </w:pPr>
    </w:p>
    <w:p>
      <w:pPr>
        <w:jc w:val="both"/>
        <w:ind w:left="8" w:firstLine="551"/>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w:t>
      </w:r>
    </w:p>
    <w:p>
      <w:pPr>
        <w:spacing w:after="0" w:line="1" w:lineRule="exact"/>
        <w:rPr>
          <w:sz w:val="20"/>
          <w:szCs w:val="20"/>
          <w:color w:val="auto"/>
        </w:rPr>
      </w:pPr>
    </w:p>
    <w:p>
      <w:pPr>
        <w:jc w:val="both"/>
        <w:ind w:left="8" w:hanging="8"/>
        <w:spacing w:after="0" w:line="226"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13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10.5(e)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10.5(e)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whose Pro Rata Share (calculated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thereof) aggregate at least 50.1% as of such date; provided, that, Required Lenders shall include (x) each Lender that is an Affiliate of Blue Owl if, as of such date, Blue Owl and its Affiliates and Related Funds collectively hold at least [***]% of the outstanding principal amount of the Term Loans and (y) each Lender that is an Affiliate of Blackstone if, as of such date, Blackstone and its Affiliates and Related Funds hold at least [***]% of the outstanding principal amount of the Term Loans.</w:t>
      </w:r>
    </w:p>
    <w:p>
      <w:pPr>
        <w:spacing w:after="0" w:line="12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and binding upon such Person or any of its property or to which such Person or any of its property is subject.</w:t>
      </w:r>
    </w:p>
    <w:p>
      <w:pPr>
        <w:spacing w:after="0" w:line="12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6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t>
      </w:r>
    </w:p>
    <w:p>
      <w:pPr>
        <w:spacing w:after="0" w:line="160" w:lineRule="exact"/>
        <w:rPr>
          <w:sz w:val="20"/>
          <w:szCs w:val="20"/>
          <w:color w:val="auto"/>
        </w:rPr>
      </w:pPr>
    </w:p>
    <w:p>
      <w:pPr>
        <w:jc w:val="both"/>
        <w:ind w:left="8"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Junior Payment</w:t>
      </w:r>
      <w:r>
        <w:rPr>
          <w:rFonts w:ascii="Times New Roman" w:cs="Times New Roman" w:eastAsia="Times New Roman" w:hAnsi="Times New Roman"/>
          <w:sz w:val="18"/>
          <w:szCs w:val="18"/>
          <w:color w:val="auto"/>
        </w:rPr>
        <w:t>” means (a) any dividend or other distribution, direct or indirect, on account of any shares of any class of Capital Stock of Borrower or any Subsidiary now or hereafter outstanding, except a dividend payable solely in shares of Qualified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now or hereafter outstanding and (c) any payment made to retire, or to obtain the surrender of, any outstanding warrants, options or other rights to acquire shares of any class of Capital Stock of Borrower or any of its Subsidiaries now or hereafter outstanding. Notwithstanding the foregoing, and for the avoidance of doubt, (i) the conversion of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268"/>
          </w:cols>
          <w:pgMar w:left="312" w:top="1207" w:right="319" w:bottom="1440" w:gutter="0" w:footer="0" w:header="0"/>
        </w:sectPr>
      </w:pPr>
    </w:p>
    <w:bookmarkStart w:id="91" w:name="page92"/>
    <w:bookmarkEnd w:id="91"/>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any cash payment or fractional shares upon conversion), [***], any Permitted Convertible Indebtedness under this Agreement shall not constitute a Restricted Junior Payment and (ii) any payment with respect to, or early unwind or settlement of, any Permitted Equity Derivative shall not constitute a Restricted Junior Payment.</w:t>
      </w:r>
    </w:p>
    <w:p>
      <w:pPr>
        <w:spacing w:after="0" w:line="129"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total consolidated revenue of the Borrower and its Subsidiaries, as determined in accordance with GAAP. Revenue shall be determined in a manner consistent with the methodologies, practices and procedures used in developing the Historical Financial Statements.</w:t>
      </w:r>
    </w:p>
    <w:p>
      <w:pPr>
        <w:spacing w:after="0" w:line="120"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Monetization Transaction</w:t>
      </w:r>
      <w:r>
        <w:rPr>
          <w:rFonts w:ascii="Times New Roman" w:cs="Times New Roman" w:eastAsia="Times New Roman" w:hAnsi="Times New Roman"/>
          <w:sz w:val="18"/>
          <w:szCs w:val="18"/>
          <w:color w:val="auto"/>
        </w:rPr>
        <w:t xml:space="preserve">” means any monetization or financing transaction involving (a) the sale, transfer, option or collateralization of (i) any monetary payments (contingent or otherwise) payable to Borrower or its Subsidiaries by a counterparty under a Product Agreement, or (ii) any revenues generated through the commercial sale of the Product to third parties, in each case whether in whole or in part or (b) the provision of financing for the development, manufacture or Commercialization of any Product in exchange for the future payment of royalties, milestones and other amounts (whether or not contingent), including sales of royalty streams, royalty bonds and other royalty financings, synthetic royalty, development financing, and revenue interest transactions (including clinical trial funding arrangements), and hybrid monetization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Permitted Receivables Indebtedness shall not constitute a Royalty Monetization Transaction.</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The McGraw Hill Corporation.</w:t>
      </w:r>
    </w:p>
    <w:p>
      <w:pPr>
        <w:spacing w:after="0" w:line="160" w:lineRule="exact"/>
        <w:rPr>
          <w:sz w:val="20"/>
          <w:szCs w:val="20"/>
          <w:color w:val="auto"/>
        </w:rPr>
      </w:pPr>
    </w:p>
    <w:p>
      <w:pPr>
        <w:jc w:val="both"/>
        <w:ind w:firstLine="551"/>
        <w:spacing w:after="0" w:line="22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named on the list of Specially Designated Nationals and Blocked Persons maintained by OFAC, OFAC’s consolidated Non-SDN list or any other Sanctions-related list maintained by any Governmental Authority, (b) a Person that is itself the target of Sanctions, (c) any Person operating, organized or resident in a country or territory subject to comprehensive Sanctions (as of the date of this Agreement, Cuba, Iran, North Korea, the Crimea region of Ukraine, and the so-called Donetsk People’s Republic and the so-called Luhansk People’s Republic)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the government of a Sanctioned Country or the Government of Venezuela, (d) any Person that is prohibited from doing business with the United States under the International Emergency Economic Powers Act, the Trading With the Enemy Act, or any other anti-terrorism law, or (e) any Person directly or indirectly 50% or more owned or controlled (individually or in the aggregate) by or acting on behalf of any such Person or Persons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(e) any Person that any Lender is prohibited from dealing or otherwise engaging in any transaction by any anti-terrorism law.</w:t>
      </w:r>
    </w:p>
    <w:p>
      <w:pPr>
        <w:spacing w:after="0" w:line="13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and the U.S. Department of State, (b) 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spacing w:after="0" w:line="2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has the meaning assigned to that term in the Pledge and Security Agreement.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means a securities account (as defined in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1260"/>
          </w:cols>
          <w:pgMar w:left="320" w:top="1207" w:right="319" w:bottom="1440" w:gutter="0" w:footer="0" w:header="0"/>
        </w:sectPr>
      </w:pPr>
    </w:p>
    <w:bookmarkStart w:id="92" w:name="page93"/>
    <w:bookmarkEnd w:id="92"/>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(i) unlawful or unauthorized access, use, loss, exfiltration, disclosure, alteration, destruction, encryption, compromise, or other processing of Personal Data and/or Confidential Business Information; (ii) unauthorized occurrence or series of related occurrences on or conducted through the IT Assets that materially compromises the confidentiality, integrity, or availability of the IT Assets; or (iii) occurrence that constitutes a “data breach,” “security breach,” “personal data breach,” “security incident,” “cybersecurity incident,” or any similar term under any applicable law.</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16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 Loan bearing interest at a rate determined by reference to Term SOFR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means a Solvency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(iii) such Loan Party has not incurred and does not intend to incur, or believe (nor should it reasonably believe) that it will incur, debts beyond its ability to pay such debts as they become due (whether at maturity or otherwise) and (b) such Person is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Contract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determining the percentage of ownership interests of any Person controlled by another Person, no ownership interest in the nature of a “qualifying share” of the former Person shall be deemed to be outstanding. When used herein,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 Subsidiary of Borrower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1260"/>
          </w:cols>
          <w:pgMar w:left="320" w:top="1207" w:right="319" w:bottom="1440" w:gutter="0" w:footer="0" w:header="0"/>
        </w:sectPr>
      </w:pPr>
    </w:p>
    <w:bookmarkStart w:id="93" w:name="page94"/>
    <w:bookmarkEnd w:id="93"/>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(including any combination of the foregoing)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28"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present or future tax, levy, impost, duty, deduction, withholding (including backup withholding) assessment, fee or other charge imposed by any Governmental Authority, and any interest, penalties, additions to tax or other liabilities with respect thereto.</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collectively, the Initial Term Loan, each Delayed Draw Term Loan (if any) and each Incremental Term Loan (if any).</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means each Lender’s Initial Term Loan Commitment and Delayed Draw Commitment (if any). The aggregate amount of the Term Loan Commitments as of the Closing Date is $700,000,000.</w:t>
      </w:r>
    </w:p>
    <w:p>
      <w:pPr>
        <w:spacing w:after="0" w:line="12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means the earlier of (a) April 1, 2031 and (b) the date that the Term Loans shall become due and payable in full hereunder, whether by acceleration or otherwise.</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60" w:lineRule="exact"/>
        <w:rPr>
          <w:sz w:val="20"/>
          <w:szCs w:val="20"/>
          <w:color w:val="auto"/>
        </w:rPr>
      </w:pPr>
    </w:p>
    <w:p>
      <w:pPr>
        <w:jc w:val="both"/>
        <w:ind w:firstLine="543"/>
        <w:spacing w:after="0"/>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1" w:lineRule="exact"/>
        <w:rPr>
          <w:rFonts w:ascii="Times New Roman" w:cs="Times New Roman" w:eastAsia="Times New Roman" w:hAnsi="Times New Roman"/>
          <w:sz w:val="18"/>
          <w:szCs w:val="18"/>
          <w:color w:val="auto"/>
        </w:rPr>
      </w:pPr>
    </w:p>
    <w:p>
      <w:pPr>
        <w:jc w:val="both"/>
        <w:ind w:firstLine="543"/>
        <w:spacing w:after="0" w:line="221" w:lineRule="auto"/>
        <w:tabs>
          <w:tab w:leader="none" w:pos="10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three (3) months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260"/>
          </w:cols>
          <w:pgMar w:left="320" w:top="1207" w:right="319" w:bottom="1440" w:gutter="0" w:footer="0" w:header="0"/>
        </w:sectPr>
      </w:pPr>
    </w:p>
    <w:bookmarkStart w:id="94" w:name="page95"/>
    <w:bookmarkEnd w:id="94"/>
    <w:p>
      <w:pPr>
        <w:jc w:val="both"/>
        <w:ind w:right="20" w:firstLine="1102"/>
        <w:spacing w:after="0" w:line="290" w:lineRule="auto"/>
        <w:rPr>
          <w:sz w:val="20"/>
          <w:szCs w:val="20"/>
          <w:color w:val="auto"/>
        </w:rPr>
      </w:pPr>
      <w:r>
        <w:rPr>
          <w:rFonts w:ascii="Times New Roman" w:cs="Times New Roman" w:eastAsia="Times New Roman" w:hAnsi="Times New Roman"/>
          <w:sz w:val="18"/>
          <w:szCs w:val="18"/>
          <w:color w:val="auto"/>
        </w:rPr>
        <w:t>provided, further, that if Term SOFR determined as provided above (including pursuant to the proviso under clause (a) or clause (b) above) shall ever be less than the Floor, then Term SOFR shall be deemed to be the Floor.</w:t>
      </w:r>
    </w:p>
    <w:p>
      <w:pPr>
        <w:spacing w:after="0" w:line="9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has the meaning specified in the definition of Immaterial Subsidiary.</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Borrower or any of its Subsidiaries.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Term Loan Commitment</w:t>
      </w:r>
      <w:r>
        <w:rPr>
          <w:rFonts w:ascii="Times New Roman" w:cs="Times New Roman" w:eastAsia="Times New Roman" w:hAnsi="Times New Roman"/>
          <w:sz w:val="18"/>
          <w:szCs w:val="18"/>
          <w:color w:val="auto"/>
        </w:rPr>
        <w:t>” means the sum of the amounts of the Lenders’ Term Loan Commitments.</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means any trademark, service mark, trade name, logo, symbol, trade dress, domain name, corporate name or other indicator of source or origin, and all applications, registrations and renewals therefor, together with all of the goodwill associated therewith.</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exchanges in the United States are open for the buying and selling of securities.</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 means the reasonable and documented fees, costs and expenses payable by the Borrower or any of its Subsidiaries on or before the Closing Date in connection with the transactions contemplated by the Loan Documents (including the Closing Date Refinancing).</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 of Loan</w:t>
      </w:r>
      <w:r>
        <w:rPr>
          <w:rFonts w:ascii="Times New Roman" w:cs="Times New Roman" w:eastAsia="Times New Roman" w:hAnsi="Times New Roman"/>
          <w:sz w:val="18"/>
          <w:szCs w:val="18"/>
          <w:color w:val="auto"/>
        </w:rPr>
        <w:t>” means with respect to any Term Loan, a Base Rate Loan or a SOFR Loan.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(including all possessions and territories thereof).</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2.15(d)(i)(B)(3)</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(or any similar or equivalent legislation) as in effect in any applicable jurisdiction.</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260"/>
          </w:cols>
          <w:pgMar w:left="320" w:top="1230"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Authority that includes certain credit institutions and investment firms, and certain affiliates of such credit institutions or investment firms.</w:t>
      </w:r>
    </w:p>
    <w:p>
      <w:pPr>
        <w:spacing w:after="0" w:line="160"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20" w:lineRule="exact"/>
        <w:rPr>
          <w:sz w:val="20"/>
          <w:szCs w:val="20"/>
          <w:color w:val="auto"/>
        </w:rPr>
      </w:pPr>
    </w:p>
    <w:p>
      <w:pPr>
        <w:ind w:right="20" w:firstLine="551"/>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3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60" w:lineRule="exact"/>
        <w:rPr>
          <w:sz w:val="20"/>
          <w:szCs w:val="20"/>
          <w:color w:val="auto"/>
        </w:rPr>
      </w:pPr>
    </w:p>
    <w:p>
      <w:pPr>
        <w:jc w:val="both"/>
        <w:ind w:firstLine="543"/>
        <w:spacing w:after="0" w:line="234" w:lineRule="auto"/>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29" w:lineRule="exact"/>
        <w:rPr>
          <w:rFonts w:ascii="Times New Roman" w:cs="Times New Roman" w:eastAsia="Times New Roman" w:hAnsi="Times New Roman"/>
          <w:sz w:val="18"/>
          <w:szCs w:val="18"/>
          <w:color w:val="auto"/>
        </w:rPr>
      </w:pPr>
    </w:p>
    <w:p>
      <w:pPr>
        <w:ind w:left="1100" w:hanging="557"/>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160"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Accounting and Other Terms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18" w:lineRule="auto"/>
        <w:tabs>
          <w:tab w:leader="none" w:pos="1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 w:cs="Times New Roman" w:eastAsia="Times New Roman" w:hAnsi="Times New Roman"/>
          <w:sz w:val="18"/>
          <w:szCs w:val="18"/>
          <w:u w:val="single" w:color="auto"/>
          <w:color w:val="auto"/>
        </w:rPr>
        <w:t>Sections 5.1(b)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xml:space="preserve"> shall be prepared in accordance with GAAP as in effect at the time of such preparation.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1, 2018 shall be applied and (iii) with respect to revenue recognition and the impact of such accounting in accordance with FASB ASC 606 on the definitions and covenants herein, GAAP as in effect on December 31, 2017 shall be applied. Notwithstanding anything to the contrary above or in the definition of “</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all obligations of any Person that are or would have been treated as operating leases for purposes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ectPr>
          <w:pgSz w:w="11900" w:h="16838" w:orient="portrait"/>
          <w:cols w:equalWidth="0" w:num="1">
            <w:col w:w="11260"/>
          </w:cols>
          <w:pgMar w:left="320" w:top="1207" w:right="319" w:bottom="1440" w:gutter="0" w:footer="0" w:header="0"/>
        </w:sectPr>
      </w:pPr>
    </w:p>
    <w:bookmarkStart w:id="96" w:name="page97"/>
    <w:bookmarkEnd w:id="96"/>
    <w:p>
      <w:pPr>
        <w:jc w:val="both"/>
        <w:spacing w:after="0" w:line="234" w:lineRule="auto"/>
        <w:rPr>
          <w:sz w:val="20"/>
          <w:szCs w:val="20"/>
          <w:color w:val="auto"/>
        </w:rPr>
      </w:pPr>
      <w:r>
        <w:rPr>
          <w:rFonts w:ascii="Times New Roman" w:cs="Times New Roman" w:eastAsia="Times New Roman" w:hAnsi="Times New Roman"/>
          <w:sz w:val="18"/>
          <w:szCs w:val="18"/>
          <w:color w:val="auto"/>
        </w:rPr>
        <w:t>of GAAP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w:t>
      </w:r>
    </w:p>
    <w:p>
      <w:pPr>
        <w:spacing w:after="0" w:line="129" w:lineRule="exact"/>
        <w:rPr>
          <w:sz w:val="20"/>
          <w:szCs w:val="20"/>
          <w:color w:val="auto"/>
        </w:rPr>
      </w:pPr>
    </w:p>
    <w:p>
      <w:pPr>
        <w:jc w:val="both"/>
        <w:ind w:firstLine="1094"/>
        <w:spacing w:after="0" w:line="229" w:lineRule="auto"/>
        <w:tabs>
          <w:tab w:leader="none" w:pos="16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used in this Agreement that are defined in Article 8 or Article 9 of the UCC as in effect from time to time in the State of New York and that are not otherwise defined herein shall have the same meanings herein as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terms used herein that are defined in the UCC as in effect in the State of New York on the date hereof shall continue to have the same meaning notwithstanding any replacement or amendment of such statute except as Administrative Agent may otherwise determine.</w:t>
      </w:r>
    </w:p>
    <w:p>
      <w:pPr>
        <w:spacing w:after="0" w:line="128" w:lineRule="exact"/>
        <w:rPr>
          <w:rFonts w:ascii="Times New Roman" w:cs="Times New Roman" w:eastAsia="Times New Roman" w:hAnsi="Times New Roman"/>
          <w:sz w:val="18"/>
          <w:szCs w:val="18"/>
          <w:color w:val="auto"/>
        </w:rPr>
      </w:pPr>
    </w:p>
    <w:p>
      <w:pPr>
        <w:jc w:val="both"/>
        <w:ind w:firstLine="1094"/>
        <w:spacing w:after="0" w:line="218" w:lineRule="auto"/>
        <w:tabs>
          <w:tab w:leader="none" w:pos="16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132"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Interpretation, Etc</w:t>
      </w:r>
      <w:r>
        <w:rPr>
          <w:rFonts w:ascii="Times New Roman" w:cs="Times New Roman" w:eastAsia="Times New Roman" w:hAnsi="Times New Roman"/>
          <w:sz w:val="18"/>
          <w:szCs w:val="18"/>
          <w:color w:val="auto"/>
        </w:rPr>
        <w:t>. Any of the terms defined herein may, unless the context otherwise requires, be used in the singular or the plural, depending on the reference. Whenever the context may require, any pronoun shall include the corresponding masculine, feminine, and neuter forms. The word “will” shall be construed to have the same meaning and effect as the word “shall.” The word “or” is used in the inclusive sense (and/or). References herein to any Section, Appendix, Schedule or Exhibit shall be to a Section, an Appendix, a Schedule or an Exhibit, as the case may be, hereof unless otherwise specifically provided. The words “herein”, “hereof” and “hereunder”, and words of similar import, when used in any Loan Document, shall be construed to refer to such Loan Document in its entirety and not to any particular provision hereof or thereof.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Whenever this Agreement refers to a number of days, unless otherwise specified, such number refers to calendar days. Any reference herein or in any other Loan Document to the satisfaction, repayment, or payment in full of the Obligations or Guaranteed Obligations shall mean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260"/>
          </w:cols>
          <w:pgMar w:left="320" w:top="1207" w:right="319" w:bottom="1440" w:gutter="0" w:footer="0" w:header="0"/>
        </w:sectPr>
      </w:pPr>
    </w:p>
    <w:bookmarkStart w:id="97" w:name="page98"/>
    <w:bookmarkEnd w:id="97"/>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payment or repayment in full in immediately available funds of (i) the principal amount of, and interest accrued and unpaid with respect to, all outstanding Loans, together with the payment of any premium applicable to the repayment of the Loans, including any Prepayment Premium, (ii) all costs, expenses, or indemnities payable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and (iv) the termination of all of the Term Loan Commitments. Notwithstanding anything in this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 such Person’s successors and permitted assigns.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all Loan Documents.</w:t>
      </w:r>
    </w:p>
    <w:p>
      <w:pPr>
        <w:spacing w:after="0" w:line="129"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Time References</w:t>
      </w:r>
      <w:r>
        <w:rPr>
          <w:rFonts w:ascii="Times New Roman" w:cs="Times New Roman" w:eastAsia="Times New Roman" w:hAnsi="Times New Roman"/>
          <w:sz w:val="18"/>
          <w:szCs w:val="18"/>
          <w:color w:val="auto"/>
        </w:rPr>
        <w:t>.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Administrative Agent or any Lender, such period shall in any event consist of at least one full day.</w:t>
      </w:r>
    </w:p>
    <w:p>
      <w:pPr>
        <w:spacing w:after="0" w:line="129"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Certain Matters of Construction</w:t>
      </w:r>
      <w:r>
        <w:rPr>
          <w:rFonts w:ascii="Times New Roman" w:cs="Times New Roman" w:eastAsia="Times New Roman" w:hAnsi="Times New Roman"/>
          <w:sz w:val="18"/>
          <w:szCs w:val="18"/>
          <w:color w:val="auto"/>
        </w:rPr>
        <w:t>. References in this Agreement to “determination” by Administrative Agent include 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cured or waived in writing pursuant to this Agreement or, in the case of a Default, is cured within any period of cure expressly provided for in this Agreement; and an Event of Default shall “continue” or be “continuing” until such Event of Default has been cured or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260"/>
          </w:cols>
          <w:pgMar w:left="320" w:top="1207" w:right="319" w:bottom="1440" w:gutter="0" w:footer="0" w:header="0"/>
        </w:sectPr>
      </w:pPr>
    </w:p>
    <w:bookmarkStart w:id="98" w:name="page99"/>
    <w:bookmarkEnd w:id="98"/>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 If at any time any action or transaction meets the criteria of one or more than one of the categories of exceptions, thresholds or baskets set forth in any Section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definition used therein, the Borrower or its Subsidiaries may divide, classify or designate such action or transaction (or any portion thereof), and later (on one or more occasions) may re-divide, re-classify or re-designate such action or transaction (or any portion thereof), as consummated in reliance on one or more of such exceptions, thresholds and baskets within such Section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as the Borrower or any of its Subsidiaries may determine in their sole discretion from time to time. All references to “in the ordinary course of business” of the Borrower or any Subsidiary thereof means (i) in the ordinary course of business of, or in furtherance of an objective that is in the ordinary course of business of the Borrower or such Subsidiary, as applicable, (ii) customary and usual in the industry or industries of the Borrower and its Subsidiaries in the United States or any other jurisdiction in which the Borrower or any Subsidiary does business, as applicable, and (iii) generally consistent with the past or current practice of the Borrower or such Subsidiary, as applicable, or any similarly situated businesses of the United States or any other jurisdiction in which the Borrower or any Subsidiary does business, as applicable.</w:t>
      </w:r>
    </w:p>
    <w:p>
      <w:pPr>
        <w:spacing w:after="0" w:line="132" w:lineRule="exact"/>
        <w:rPr>
          <w:sz w:val="20"/>
          <w:szCs w:val="20"/>
          <w:color w:val="auto"/>
        </w:rPr>
      </w:pPr>
    </w:p>
    <w:p>
      <w:pPr>
        <w:jc w:val="both"/>
        <w:ind w:firstLine="551"/>
        <w:spacing w:after="0" w:line="23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Borrower.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38"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Financial Metrics</w:t>
      </w:r>
      <w:r>
        <w:rPr>
          <w:rFonts w:ascii="Times New Roman" w:cs="Times New Roman" w:eastAsia="Times New Roman" w:hAnsi="Times New Roman"/>
          <w:sz w:val="18"/>
          <w:szCs w:val="18"/>
          <w:color w:val="auto"/>
        </w:rPr>
        <w:t xml:space="preserve">. For purposes of determining any financial metric, including, without limitation, Consolidated Total Assets of the Borrower and its Subsidiaries, in connection with any test, requirement, condition or calculation using such metric required hereunder to determine whether any action taken or to be taken by the Borrower is permitted hereunder, the Borrower shall use such number as of the last date for which the Borrower has, or is required to have, delivered financial reporting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(giving pro forma effect to the proposed action).</w:t>
      </w:r>
    </w:p>
    <w:p>
      <w:pPr>
        <w:spacing w:after="0" w:line="129"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Calculation of Baskets</w:t>
      </w:r>
      <w:r>
        <w:rPr>
          <w:rFonts w:ascii="Times New Roman" w:cs="Times New Roman" w:eastAsia="Times New Roman" w:hAnsi="Times New Roman"/>
          <w:sz w:val="18"/>
          <w:szCs w:val="18"/>
          <w:color w:val="auto"/>
        </w:rPr>
        <w:t>. If any of the baskets set forth in Article VI of this Agreement are exceeded solely as a result of currency fluctuations or fluctuations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260"/>
          </w:cols>
          <w:pgMar w:left="320" w:top="1207" w:right="319" w:bottom="1440" w:gutter="0" w:footer="0" w:header="0"/>
        </w:sectPr>
      </w:pPr>
    </w:p>
    <w:bookmarkStart w:id="99" w:name="page100"/>
    <w:bookmarkEnd w:id="99"/>
    <w:p>
      <w:pPr>
        <w:ind w:left="8" w:right="20"/>
        <w:spacing w:after="0" w:line="250" w:lineRule="auto"/>
        <w:rPr>
          <w:sz w:val="20"/>
          <w:szCs w:val="20"/>
          <w:color w:val="auto"/>
        </w:rPr>
      </w:pPr>
      <w:r>
        <w:rPr>
          <w:rFonts w:ascii="Times New Roman" w:cs="Times New Roman" w:eastAsia="Times New Roman" w:hAnsi="Times New Roman"/>
          <w:sz w:val="18"/>
          <w:szCs w:val="18"/>
          <w:color w:val="auto"/>
        </w:rPr>
        <w:t>Consolidated Total Assets for the most recently completed Fiscal Quarter after the last time such baskets were calculated for any purpose under this Agreement, such baskets will not be deemed to have been exceeded solely as a result of such fluctuations.</w:t>
      </w:r>
    </w:p>
    <w:p>
      <w:pPr>
        <w:spacing w:after="0" w:line="120" w:lineRule="exact"/>
        <w:rPr>
          <w:sz w:val="20"/>
          <w:szCs w:val="20"/>
          <w:color w:val="auto"/>
        </w:rPr>
      </w:pPr>
    </w:p>
    <w:p>
      <w:pPr>
        <w:ind w:left="5088"/>
        <w:spacing w:after="0"/>
        <w:rPr>
          <w:sz w:val="20"/>
          <w:szCs w:val="20"/>
          <w:color w:val="auto"/>
        </w:rPr>
      </w:pPr>
      <w:r>
        <w:rPr>
          <w:rFonts w:ascii="Times New Roman" w:cs="Times New Roman" w:eastAsia="Times New Roman" w:hAnsi="Times New Roman"/>
          <w:sz w:val="18"/>
          <w:szCs w:val="18"/>
          <w:color w:val="auto"/>
        </w:rPr>
        <w:t>Article II</w:t>
      </w:r>
    </w:p>
    <w:p>
      <w:pPr>
        <w:spacing w:after="0" w:line="160" w:lineRule="exact"/>
        <w:rPr>
          <w:sz w:val="20"/>
          <w:szCs w:val="20"/>
          <w:color w:val="auto"/>
        </w:rPr>
      </w:pPr>
    </w:p>
    <w:p>
      <w:pPr>
        <w:ind w:left="5328"/>
        <w:spacing w:after="0"/>
        <w:rPr>
          <w:sz w:val="20"/>
          <w:szCs w:val="20"/>
          <w:color w:val="auto"/>
        </w:rPr>
      </w:pPr>
      <w:r>
        <w:rPr>
          <w:rFonts w:ascii="Times New Roman" w:cs="Times New Roman" w:eastAsia="Times New Roman" w:hAnsi="Times New Roman"/>
          <w:sz w:val="18"/>
          <w:szCs w:val="18"/>
          <w:color w:val="auto"/>
        </w:rPr>
        <w:t>LOANS</w:t>
      </w:r>
    </w:p>
    <w:p>
      <w:pPr>
        <w:spacing w:after="0" w:line="160"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48" w:hanging="546"/>
        <w:spacing w:after="0"/>
        <w:tabs>
          <w:tab w:leader="none" w:pos="1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Term Loans; Delayed Draw Term Loans; Incremental Term Loans</w:t>
      </w:r>
      <w:r>
        <w:rPr>
          <w:rFonts w:ascii="Times New Roman" w:cs="Times New Roman" w:eastAsia="Times New Roman" w:hAnsi="Times New Roman"/>
          <w:sz w:val="18"/>
          <w:szCs w:val="18"/>
          <w:color w:val="auto"/>
        </w:rPr>
        <w:t>. Subject to the terms and conditions hereof:</w:t>
      </w:r>
    </w:p>
    <w:p>
      <w:pPr>
        <w:spacing w:after="0" w:line="160" w:lineRule="exact"/>
        <w:rPr>
          <w:rFonts w:ascii="Times New Roman" w:cs="Times New Roman" w:eastAsia="Times New Roman" w:hAnsi="Times New Roman"/>
          <w:sz w:val="18"/>
          <w:szCs w:val="18"/>
          <w:color w:val="auto"/>
        </w:rPr>
      </w:pPr>
    </w:p>
    <w:p>
      <w:pPr>
        <w:ind w:left="8" w:firstLine="1645"/>
        <w:spacing w:after="0" w:line="250" w:lineRule="auto"/>
        <w:tabs>
          <w:tab w:leader="none" w:pos="220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severally agrees to make, on the Initial Funding Date, an Initial Term Loan to Borrower in an amount equal to such Lender’s Initial Term Loan Commitment; and</w:t>
      </w:r>
    </w:p>
    <w:p>
      <w:pPr>
        <w:spacing w:after="0" w:line="119" w:lineRule="exact"/>
        <w:rPr>
          <w:rFonts w:ascii="Times New Roman" w:cs="Times New Roman" w:eastAsia="Times New Roman" w:hAnsi="Times New Roman"/>
          <w:sz w:val="18"/>
          <w:szCs w:val="18"/>
          <w:color w:val="auto"/>
        </w:rPr>
      </w:pPr>
    </w:p>
    <w:p>
      <w:pPr>
        <w:jc w:val="both"/>
        <w:ind w:left="8" w:firstLine="1645"/>
        <w:spacing w:after="0" w:line="234" w:lineRule="auto"/>
        <w:tabs>
          <w:tab w:leader="none" w:pos="22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Delayed Draw Availability Period, at the option of Borrower, each Lender with a Delayed Draw Term Loan Commitment shall, subject to satisfaction (or waiver) of the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severally and not jointly, make Delayed Draw Term Loans to Borrower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and</w:t>
      </w:r>
    </w:p>
    <w:p>
      <w:pPr>
        <w:spacing w:after="0" w:line="129" w:lineRule="exact"/>
        <w:rPr>
          <w:rFonts w:ascii="Times New Roman" w:cs="Times New Roman" w:eastAsia="Times New Roman" w:hAnsi="Times New Roman"/>
          <w:sz w:val="18"/>
          <w:szCs w:val="18"/>
          <w:color w:val="auto"/>
        </w:rPr>
      </w:pPr>
    </w:p>
    <w:p>
      <w:pPr>
        <w:jc w:val="both"/>
        <w:ind w:left="8" w:firstLine="1645"/>
        <w:spacing w:after="0" w:line="234" w:lineRule="auto"/>
        <w:tabs>
          <w:tab w:leader="none" w:pos="221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option of Borrower, each Lender with an Incremental Term Loan Commitment shall, subject to satisfaction (or waiver) of the conditions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any applicable funding conditions as set forth in the applicable Incremental Amendment, severally and not jointly, make Incremental Term Loans to Borrower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8" w:firstLine="1102"/>
        <w:spacing w:after="0" w:line="224" w:lineRule="auto"/>
        <w:rPr>
          <w:sz w:val="20"/>
          <w:szCs w:val="20"/>
          <w:color w:val="auto"/>
        </w:rPr>
      </w:pPr>
      <w:r>
        <w:rPr>
          <w:rFonts w:ascii="Times New Roman" w:cs="Times New Roman" w:eastAsia="Times New Roman" w:hAnsi="Times New Roman"/>
          <w:sz w:val="18"/>
          <w:szCs w:val="18"/>
          <w:color w:val="auto"/>
        </w:rPr>
        <w:t>Borrower may make only one borrowing under the Initial Term Loan Commitment, which shall be on the Initial Funding Date. Borrower may make one or more borrowings under the Delayed Draw Term Loan Commitments during the Delayed Draw Availability Period; provided that</w:t>
      </w:r>
    </w:p>
    <w:p>
      <w:pPr>
        <w:spacing w:after="0" w:line="1" w:lineRule="exact"/>
        <w:rPr>
          <w:sz w:val="20"/>
          <w:szCs w:val="20"/>
          <w:color w:val="auto"/>
        </w:rPr>
      </w:pPr>
    </w:p>
    <w:p>
      <w:pPr>
        <w:jc w:val="both"/>
        <w:ind w:left="8" w:hanging="8"/>
        <w:spacing w:after="0" w:line="217" w:lineRule="auto"/>
        <w:tabs>
          <w:tab w:leader="none" w:pos="2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of a Delayed Draw Term Loan shall be made in an amount not less than $[***] and in multiples of $[***] in excess thereof and (ii) the aggregate principal amount of Delayed Draw Term Loans funded shall not exceed $300,000,000. The Delayed Draw Term Loan Commitments shall automatically terminate and be of no further force or effect as of the earlier to occur of (i) the date on which the Delayed Draw Term Loans have been funded in an aggregate principal amount equal to $300,000,000 and (ii) the last day of the Delayed Draw Availability Period. Any amount borrowed under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subsequently repaid or prepaid may not be reborrowed.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all amounts owed hereunder with respect to the Initial Term Loans and the Delayed Draw Term Loans shall be paid in full no later than the Term Loan Maturity Date. Each Lender’s Initial Term Loan Commitment shall terminate immediately and without further action on the Credit Date on which such Lender funds Initial Term Loans after giving effect to the funding of such Term Loans on such Credit Date. Each Lender’s Delayed Draw Term Loan Commitment shall terminate immediately and without further action, (x) with respect to any particular drawing, on the Credit Date on which such Lender funds such Delayed Draw Term Loan after giving effect to the funding of such Delayed Draw Term Loan on such Credit Date and (y) the last day of the Delayed Draw Availability Period.</w:t>
      </w:r>
    </w:p>
    <w:p>
      <w:pPr>
        <w:spacing w:after="0" w:line="129" w:lineRule="exact"/>
        <w:rPr>
          <w:rFonts w:ascii="Times New Roman" w:cs="Times New Roman" w:eastAsia="Times New Roman" w:hAnsi="Times New Roman"/>
          <w:sz w:val="18"/>
          <w:szCs w:val="18"/>
          <w:color w:val="auto"/>
        </w:rPr>
      </w:pPr>
    </w:p>
    <w:p>
      <w:pPr>
        <w:ind w:left="1648" w:hanging="546"/>
        <w:spacing w:after="0"/>
        <w:tabs>
          <w:tab w:leader="none" w:pos="16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Term Loans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8" w:firstLine="1645"/>
        <w:spacing w:after="0" w:line="250" w:lineRule="auto"/>
        <w:tabs>
          <w:tab w:leader="none" w:pos="220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Administrative Agent a fully executed Funding Notice no later than [***] prior to the Initial Funding Date (or such shorter period permitted by Administrative Agent), with respect to Initial Term Loans made on the Initial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11268"/>
          </w:cols>
          <w:pgMar w:left="312" w:top="1207" w:right="319" w:bottom="1440" w:gutter="0" w:footer="0" w:header="0"/>
        </w:sectPr>
      </w:pPr>
    </w:p>
    <w:bookmarkStart w:id="100" w:name="page101"/>
    <w:bookmarkEnd w:id="100"/>
    <w:p>
      <w:pPr>
        <w:jc w:val="both"/>
        <w:spacing w:after="0"/>
        <w:rPr>
          <w:sz w:val="20"/>
          <w:szCs w:val="20"/>
          <w:color w:val="auto"/>
        </w:rPr>
      </w:pPr>
      <w:r>
        <w:rPr>
          <w:rFonts w:ascii="Times New Roman" w:cs="Times New Roman" w:eastAsia="Times New Roman" w:hAnsi="Times New Roman"/>
          <w:sz w:val="18"/>
          <w:szCs w:val="18"/>
          <w:color w:val="auto"/>
        </w:rPr>
        <w:t>Funding Date, and no later than [***] prior to the requested Credit Date for Delayed Draw Term Loans (or such shorter period permitted by Administrative Agent), with respect to Delayed Draw Term Loans. Except as otherwise provided herein, a Funding Notice for a Term Loan that is a SOFR Loan shall be irrevocable on and after the related Interest Rate Determination Date, and Borrower shall be bound to make a borrowing in accordance therewith. Promptly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Borrower (or from any Authorized Officer thereof designated in writing purportedly from Borrower to Administrative Agent), (B) shall be entitled to rely conclusively on any Authorized Officer’s authority to request a Term Loan on behalf of Borrower until Administrative Agent receives written notice to the contrary, and (C) shall have no duty to verify the authenticity of the signature appearing on any written Funding Notice.</w:t>
      </w:r>
    </w:p>
    <w:p>
      <w:pPr>
        <w:spacing w:after="0" w:line="181" w:lineRule="exact"/>
        <w:rPr>
          <w:sz w:val="20"/>
          <w:szCs w:val="20"/>
          <w:color w:val="auto"/>
        </w:rPr>
      </w:pPr>
    </w:p>
    <w:p>
      <w:pPr>
        <w:jc w:val="both"/>
        <w:ind w:firstLine="1645"/>
        <w:spacing w:after="0" w:line="223" w:lineRule="auto"/>
        <w:tabs>
          <w:tab w:leader="none" w:pos="219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Borrower on the applicable Credit Date by causing an amount of same day funds in Dollars equal to the proceeds of all such Loans received by Administrative Agent from Lenders to be credited to the account of Borrower at Administrative Agent’s Principal Office or to such other account as may be designated in writing to Administrative Agent by Borrower.</w:t>
      </w:r>
    </w:p>
    <w:p>
      <w:pPr>
        <w:spacing w:after="0" w:line="132"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 Availability of Funds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right="20" w:firstLine="1645"/>
        <w:spacing w:after="0" w:line="229" w:lineRule="auto"/>
        <w:tabs>
          <w:tab w:leader="none" w:pos="21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w:t>
      </w:r>
      <w:r>
        <w:rPr>
          <w:rFonts w:ascii="Times New Roman" w:cs="Times New Roman" w:eastAsia="Times New Roman" w:hAnsi="Times New Roman"/>
          <w:sz w:val="18"/>
          <w:szCs w:val="18"/>
          <w:color w:val="auto"/>
        </w:rPr>
        <w:t>. All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 any other Lender in such other Lender’s obligation to make a Loan requested hereunder or purchase a participation required hereby.</w:t>
      </w:r>
    </w:p>
    <w:p>
      <w:pPr>
        <w:spacing w:after="0" w:line="129" w:lineRule="exact"/>
        <w:rPr>
          <w:sz w:val="20"/>
          <w:szCs w:val="20"/>
          <w:color w:val="auto"/>
        </w:rPr>
      </w:pPr>
    </w:p>
    <w:p>
      <w:pPr>
        <w:jc w:val="both"/>
        <w:ind w:firstLine="1645"/>
        <w:spacing w:after="0" w:line="218" w:lineRule="auto"/>
        <w:tabs>
          <w:tab w:leader="none" w:pos="21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(3) Business Days and thereafter at the Base Rate.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such Credit Date until the date such amount is paid to Administrative Agent, at the rate payable hereunder for Base Rate Loans. Nothing in this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 xml:space="preserve"> shall be deemed to relieve any Lender from its obligation to fulfill its Term Loan Commitments hereunder or to prejudice any rights that Borrower may have against any Lender as a result of any default by such Lender hereunder.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1260"/>
          </w:cols>
          <w:pgMar w:left="320" w:top="1207" w:right="319" w:bottom="1440" w:gutter="0" w:footer="0" w:header="0"/>
        </w:sectPr>
      </w:pPr>
    </w:p>
    <w:bookmarkStart w:id="101" w:name="page102"/>
    <w:bookmarkEnd w:id="101"/>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Initial Term Loans shall be applied by Borrower and its Subsidiaries (a) to finance the Closing Date Refinancing and to pay the Transaction Costs and (b) for any other use not prohibited by this Agreement (including for working capital and general corporate purposes of the Borrower and its Subsidiaries). The proceeds of any Delayed Draw Term Loans shall be applied by Borrower and its Subsidiaries solely to (a) pay consideration in respect of Permitted Acquisitions (including to replenish balance sheet cash for any Permitted Acquisition for so long as any such Permitted Acquisition shall have been consummated within [***] prior to the receipt of the proceeds of such Delayed Draw Term Loans) and (b) pay any reasonable and customary fees, costs and expenses in connection therewith. The proceeds of any Incremental Term Loan may be used by the Borrower and its Subsidiaries for working capital and other general corporate purposes, including the financing of capital expenditures, Permitted Acquisitions, other permitted Investments and other permitted dividends and distributions on account of the capital stock of the Borrower and any other use not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proceeds of any Incremental Term Loan may be used by the Borrower or its Subsidiaries to finance (directly or indirectly) any Permitted Acquisition unless all of the Delayed Draw Term Loan Commitments have been drawn or terminated in full. No portion of the proceeds of any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8"/>
          <w:szCs w:val="18"/>
          <w:u w:val="single" w:color="auto"/>
          <w:color w:val="auto"/>
        </w:rPr>
        <w:t>Evidence of Debt; Register; Lenders’ Books and Records; 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6" w:lineRule="auto"/>
        <w:tabs>
          <w:tab w:leader="none" w:pos="16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Evidence of Debt</w:t>
      </w:r>
      <w:r>
        <w:rPr>
          <w:rFonts w:ascii="Times New Roman" w:cs="Times New Roman" w:eastAsia="Times New Roman" w:hAnsi="Times New Roman"/>
          <w:sz w:val="18"/>
          <w:szCs w:val="18"/>
          <w:color w:val="auto"/>
        </w:rPr>
        <w:t xml:space="preserve">. Each Lender shall maintain on its internal records an account or accounts evidencing the Obligations of Borrower to such Lender, including the amounts of the Term Loans made by it and each repayment and prepayment in respect thereof. Any such recordation shall be conclusive and binding on Borrower,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make any such recordation, or any error in such recordation, shall not affect Borrower’s Obligations in respect of any Term Loans;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in the event of any inconsistency between the Register and any Lender’s records, the recordations in the Register shall govern.</w:t>
      </w:r>
    </w:p>
    <w:p>
      <w:pPr>
        <w:spacing w:after="0" w:line="127" w:lineRule="exact"/>
        <w:rPr>
          <w:rFonts w:ascii="Times New Roman" w:cs="Times New Roman" w:eastAsia="Times New Roman" w:hAnsi="Times New Roman"/>
          <w:sz w:val="18"/>
          <w:szCs w:val="18"/>
          <w:color w:val="auto"/>
        </w:rPr>
      </w:pPr>
    </w:p>
    <w:p>
      <w:pPr>
        <w:jc w:val="both"/>
        <w:ind w:firstLine="1094"/>
        <w:spacing w:after="0" w:line="218" w:lineRule="auto"/>
        <w:tabs>
          <w:tab w:leader="none" w:pos="16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Administrative Agent shall maintain at its Principal Office a register for the recordation of the names and addresses of Lenders and the commitments of and principal amount of the Term Loans (and stated interest therein) owing to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Register shall be available for inspection by Borrower at any reasonable time and from time to time upon reasonable prior notice.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failure to make any such recordation, or any error in such recordation, shall not affect Borrower’s Obligations to repay any Term Loan in accordance with the terms of this Agreement. Borrower hereby designates the entity serving as Administrative Agent to serve as Borrower’s non-fiduciary agent solely for purposes of maintaining the Register as provided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parties intend that any interest in or with respect to the Loans under this Agreement be treated as being issued and maintained in “registered form” within the meaning of Sections 163(f), 871(h)(2), and 881(c)(2) of the Code and any regulations thereunder (and any amended or successor provisions), including without limitation under United States Treasury Regulations Section 5f.103-1(c) and Proposed Treasury Regulations Section 1.163-5 (and any amended or successor provisions).</w:t>
      </w:r>
    </w:p>
    <w:p>
      <w:pPr>
        <w:spacing w:after="0" w:line="136" w:lineRule="exact"/>
        <w:rPr>
          <w:rFonts w:ascii="Times New Roman" w:cs="Times New Roman" w:eastAsia="Times New Roman" w:hAnsi="Times New Roman"/>
          <w:sz w:val="18"/>
          <w:szCs w:val="18"/>
          <w:color w:val="auto"/>
        </w:rPr>
      </w:pPr>
    </w:p>
    <w:p>
      <w:pPr>
        <w:ind w:firstLine="1094"/>
        <w:spacing w:after="0" w:line="250" w:lineRule="auto"/>
        <w:tabs>
          <w:tab w:leader="none" w:pos="16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If so requested by any Lender by written notice to Borrower (with a copy to Administrative Agent) at least [***] prior to the Closing Date or any other applicable Credit Date, or at any time thereafter, Borrower shall execute and deliver to such Lender (or, if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1260"/>
          </w:cols>
          <w:pgMar w:left="320" w:top="1207" w:right="319" w:bottom="1440" w:gutter="0" w:footer="0" w:header="0"/>
        </w:sectPr>
      </w:pPr>
    </w:p>
    <w:bookmarkStart w:id="102" w:name="page103"/>
    <w:bookmarkEnd w:id="102"/>
    <w:p>
      <w:pPr>
        <w:spacing w:after="0" w:line="250" w:lineRule="auto"/>
        <w:rPr>
          <w:sz w:val="20"/>
          <w:szCs w:val="20"/>
          <w:color w:val="auto"/>
        </w:rPr>
      </w:pPr>
      <w:r>
        <w:rPr>
          <w:rFonts w:ascii="Times New Roman" w:cs="Times New Roman" w:eastAsia="Times New Roman" w:hAnsi="Times New Roman"/>
          <w:sz w:val="18"/>
          <w:szCs w:val="18"/>
          <w:color w:val="auto"/>
        </w:rPr>
        <w:t xml:space="preserve">applicable and if so specified in such notice, to any Person who is an assignee of such Lender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on the Closing Date (or, if such notice is delivered after the Closing Date, promptly after Borrower’s receipt of such notice) a Note or Notes.</w:t>
      </w:r>
    </w:p>
    <w:p>
      <w:pPr>
        <w:spacing w:after="0" w:line="12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firstLine="1094"/>
        <w:spacing w:after="0" w:line="234" w:lineRule="auto"/>
        <w:tabs>
          <w:tab w:leader="none" w:pos="1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each Loan shall bear interest on the unpaid principal amount thereof from the date made through repayment (whether by acceleration or otherwise) thereof as follows: (i) if a Base Rate Loan,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or (ii) if a SOFR Loan, at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2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determining the rate of interest with respect to any Loan, and the Interest Period with respect to any SOFR Loan, shall be selected by Borrower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27" w:lineRule="exact"/>
        <w:rPr>
          <w:rFonts w:ascii="Times New Roman" w:cs="Times New Roman" w:eastAsia="Times New Roman" w:hAnsi="Times New Roman"/>
          <w:sz w:val="18"/>
          <w:szCs w:val="18"/>
          <w:color w:val="auto"/>
        </w:rPr>
      </w:pPr>
    </w:p>
    <w:p>
      <w:pPr>
        <w:jc w:val="both"/>
        <w:ind w:firstLine="1094"/>
        <w:spacing w:after="0" w:line="220" w:lineRule="auto"/>
        <w:tabs>
          <w:tab w:leader="none" w:pos="1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SOFR Loans there shall be no more than five (5) Interest Periods outstanding at any time. In the event Borrower fails to specify between a Base Rate Loan or a SOFR Loan in the applicable Funding Notice or Conversion/Continuation Notice, such Loan (if outstanding as a SOFR Loan) will automatically continue as a SOFR Loan on the last day of the then current Interest Period for such Loan (or if outstanding as a Base Rate Loan will remain as, or (if not then outstanding) will be made as, a Base Rate Loan). At any time that an Event of Default has occurred and is continuing, Borrower no longer shall have the option to request that any portion of the Loans be a SOFR Loan and such SOFR Loans shall automatically convert to Base Rate Loans on the last day of the then current Interest Period. As soon as practicable after 1:00 p.m.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Borrower and each Lender.</w:t>
      </w:r>
    </w:p>
    <w:p>
      <w:pPr>
        <w:spacing w:after="0" w:line="129" w:lineRule="exact"/>
        <w:rPr>
          <w:rFonts w:ascii="Times New Roman" w:cs="Times New Roman" w:eastAsia="Times New Roman" w:hAnsi="Times New Roman"/>
          <w:sz w:val="18"/>
          <w:szCs w:val="18"/>
          <w:color w:val="auto"/>
        </w:rPr>
      </w:pPr>
    </w:p>
    <w:p>
      <w:pPr>
        <w:jc w:val="both"/>
        <w:ind w:firstLine="1094"/>
        <w:spacing w:after="0" w:line="220" w:lineRule="auto"/>
        <w:tabs>
          <w:tab w:leader="none" w:pos="16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payable hereunder shall be computed on the basis of a 360 day year (in the case of a SOFR Loan or a Base Rate Loan bearing interest on the basis of clause (c) of the definition of Base Rate) or on the basis of a 365 day year (or 366 days, in the case of a leap year) (in the case of a Base Rate Loan (except for any Base Rate Loan bearing interest on the basis of clause (c) of the definition of Base Rate)),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 Loan is repaid on the same day on which it is made, one day’s interest shall be paid on that Loan.</w:t>
      </w:r>
    </w:p>
    <w:p>
      <w:pPr>
        <w:spacing w:after="0" w:line="129" w:lineRule="exact"/>
        <w:rPr>
          <w:rFonts w:ascii="Times New Roman" w:cs="Times New Roman" w:eastAsia="Times New Roman" w:hAnsi="Times New Roman"/>
          <w:sz w:val="18"/>
          <w:szCs w:val="18"/>
          <w:color w:val="auto"/>
        </w:rPr>
      </w:pPr>
    </w:p>
    <w:p>
      <w:pPr>
        <w:ind w:firstLine="1094"/>
        <w:spacing w:after="0" w:line="250" w:lineRule="auto"/>
        <w:tabs>
          <w:tab w:leader="none" w:pos="16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interest on each Term Loan shall be payable in cash and in arrears (i) on each Interest Payment Date and (ii) upon any prepayment of that Term Loan, whether voluntary or mandatory, to the extent accrued on the amount being prepaid.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1260"/>
          </w:cols>
          <w:pgMar w:left="320" w:top="1207" w:right="319" w:bottom="1440" w:gutter="0" w:footer="0" w:header="0"/>
        </w:sectPr>
      </w:pPr>
    </w:p>
    <w:bookmarkStart w:id="103" w:name="page104"/>
    <w:bookmarkEnd w:id="103"/>
    <w:p>
      <w:pPr>
        <w:jc w:val="both"/>
        <w:ind w:firstLine="1094"/>
        <w:spacing w:after="0" w:line="226" w:lineRule="auto"/>
        <w:tabs>
          <w:tab w:leader="none" w:pos="16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Borrower and the Lenders of the effectiveness of any Conforming Changes in connection with the use or administration of Term SOFR.</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8"/>
          <w:szCs w:val="18"/>
          <w:u w:val="single" w:color="auto"/>
          <w:color w:val="auto"/>
        </w:rPr>
        <w:t>Conversion/Continuation</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640" w:hanging="546"/>
        <w:spacing w:after="0"/>
        <w:tabs>
          <w:tab w:leader="none" w:pos="1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so long as no Event of Default shall have occurred and then be continuing, Borrower shall have the</w:t>
      </w: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140" w:lineRule="exact"/>
        <w:rPr>
          <w:sz w:val="20"/>
          <w:szCs w:val="20"/>
          <w:color w:val="auto"/>
        </w:rPr>
      </w:pPr>
    </w:p>
    <w:p>
      <w:pPr>
        <w:jc w:val="both"/>
        <w:ind w:firstLine="1645"/>
        <w:spacing w:after="0" w:line="234" w:lineRule="auto"/>
        <w:tabs>
          <w:tab w:leader="none" w:pos="21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convert at any time all or any part of any Term Loan equal to $5,000,000 and integral multiples of $5,000,000 in excess of that amount from one Type of Loan to another Type of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SOFR Loan may only be converted on the expiration of the Interest Period applicable to such SOFR Loan unless Borrower shall pay all amounts due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 connection with any such conversion; or</w:t>
      </w:r>
    </w:p>
    <w:p>
      <w:pPr>
        <w:spacing w:after="0" w:line="129" w:lineRule="exact"/>
        <w:rPr>
          <w:rFonts w:ascii="Times New Roman" w:cs="Times New Roman" w:eastAsia="Times New Roman" w:hAnsi="Times New Roman"/>
          <w:sz w:val="18"/>
          <w:szCs w:val="18"/>
          <w:color w:val="auto"/>
        </w:rPr>
      </w:pPr>
    </w:p>
    <w:p>
      <w:pPr>
        <w:ind w:firstLine="1645"/>
        <w:spacing w:after="0" w:line="250" w:lineRule="auto"/>
        <w:tabs>
          <w:tab w:leader="none" w:pos="219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Interest Period applicable to any SOFR Loan, to continue all or any portion of such Loan equal to $5,000,000 and integral multiples of $5,000,000 in excess of that amount as a SOFR Loan.</w:t>
      </w:r>
    </w:p>
    <w:p>
      <w:pPr>
        <w:spacing w:after="0" w:line="11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a Conversion/Continuation Notice to Administrative Agent no later than 1:00 p.m. (New York City time) at least [***] in advance of the proposed conversion date (in the case of a conversion to a Base Rate Loan) and at least [***]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Interest Rate Determination Date, and Borrower shall be bound to effect a conversion or continuation in accordance therewith.</w:t>
      </w:r>
    </w:p>
    <w:p>
      <w:pPr>
        <w:spacing w:after="0" w:line="128"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 and after written notice from the Administrative Agent acting at the direction of the Required Lenders, after the occurrence and during the continuance of any other Event of Default, the principal amount of all Term Loans outstanding and, to the extent permitted by applicable law, any interest payments on the Term Loans or on any fees or other amounts owed hereunder (including any Prepayment Premium, if applicable),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All interest payable at the Default Rate shall be payable in cash on demand. Payment or acceptance of the Default Rate of interest provided for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is not a permitted alternative to timely payment and shall not constitute a waiver of any Default or Event of Default or otherwise prejudice or limit any rights or remedies of Administrative Agent or any Lender.</w:t>
      </w:r>
    </w:p>
    <w:p>
      <w:pPr>
        <w:spacing w:after="0" w:line="181"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640" w:hanging="546"/>
        <w:spacing w:after="0"/>
        <w:tabs>
          <w:tab w:leader="none" w:pos="1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pay to Administrative Agent all fees payable by it in the Fee Letters in the amounts and at the times specified</w:t>
      </w:r>
    </w:p>
    <w:p>
      <w:pPr>
        <w:spacing w:after="0"/>
        <w:rPr>
          <w:sz w:val="20"/>
          <w:szCs w:val="20"/>
          <w:color w:val="auto"/>
        </w:rPr>
      </w:pPr>
      <w:r>
        <w:rPr>
          <w:rFonts w:ascii="Times New Roman" w:cs="Times New Roman" w:eastAsia="Times New Roman" w:hAnsi="Times New Roman"/>
          <w:sz w:val="18"/>
          <w:szCs w:val="18"/>
          <w:color w:val="auto"/>
        </w:rPr>
        <w:t>therein.</w:t>
      </w:r>
    </w:p>
    <w:p>
      <w:pPr>
        <w:spacing w:after="0" w:line="140" w:lineRule="exact"/>
        <w:rPr>
          <w:sz w:val="20"/>
          <w:szCs w:val="20"/>
          <w:color w:val="auto"/>
        </w:rPr>
      </w:pPr>
    </w:p>
    <w:p>
      <w:pPr>
        <w:ind w:left="1640" w:hanging="546"/>
        <w:spacing w:after="0"/>
        <w:tabs>
          <w:tab w:leader="none" w:pos="1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referred to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calculated on the basis of a 360 day year and the actual number of days elapsed.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ectPr>
          <w:pgSz w:w="11900" w:h="16838" w:orient="portrait"/>
          <w:cols w:equalWidth="0" w:num="1">
            <w:col w:w="11260"/>
          </w:cols>
          <w:pgMar w:left="320" w:top="1207" w:right="319" w:bottom="1440" w:gutter="0" w:footer="0" w:header="0"/>
        </w:sectPr>
      </w:pPr>
    </w:p>
    <w:bookmarkStart w:id="104" w:name="page105"/>
    <w:bookmarkEnd w:id="104"/>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 The outstanding unpaid principal balance of the Initial Term Loans, together with all other amounts owed hereunder with respect thereto, shall be paid in full in cash no later than the Term Loan Maturity Date, the outstanding unpaid principal balance of the Delayed Draw Term Loans, together with all other amounts owed hereunder with respect thereto, shall be paid in full in cash no later than the Term Loan Maturity Date and the outstanding unpaid principal balance of any Incremental Term Loans shall be repaid in accordance with the applicable maturity date for such Incremental Term Loans as set forth in the Incremental Amendment applicable thereto.</w:t>
      </w:r>
    </w:p>
    <w:p>
      <w:pPr>
        <w:spacing w:after="0" w:line="128"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8"/>
          <w:szCs w:val="18"/>
          <w:u w:val="single" w:color="auto"/>
          <w:color w:val="auto"/>
        </w:rPr>
        <w:t>Voluntary Prepayments; Commitment Termination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right="20" w:firstLine="1094"/>
        <w:spacing w:after="0" w:line="234" w:lineRule="auto"/>
        <w:tabs>
          <w:tab w:leader="none" w:pos="16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Lender Fee Letter, Borrower may prepay at any time the Term Loan on any Business Day in whole or in part (together with any amounts due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in an aggregate minimum amount of $[***] and integral multiples of $[***] in excess of that amount.</w:t>
      </w:r>
    </w:p>
    <w:p>
      <w:pPr>
        <w:spacing w:after="0" w:line="126" w:lineRule="exact"/>
        <w:rPr>
          <w:rFonts w:ascii="Times New Roman" w:cs="Times New Roman" w:eastAsia="Times New Roman" w:hAnsi="Times New Roman"/>
          <w:sz w:val="18"/>
          <w:szCs w:val="18"/>
          <w:color w:val="auto"/>
        </w:rPr>
      </w:pPr>
    </w:p>
    <w:p>
      <w:pPr>
        <w:ind w:left="1648" w:hanging="546"/>
        <w:spacing w:after="0"/>
        <w:tabs>
          <w:tab w:leader="none" w:pos="1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 upon not less than [***] prior written notice, in each case given to Administrative Agent by</w:t>
      </w:r>
    </w:p>
    <w:p>
      <w:pPr>
        <w:jc w:val="both"/>
        <w:ind w:left="8"/>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p.m. on the date required (and Administrative Agent will promptly transmit such or original notice by facsimile or email to each Lender). Upon the giving of any such notice, the principal amount of the Term Loans specified in such notice shall become due and payable on the prepayment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rescind any notice if (i) such prepayment would have resulted from a refinancing of the Term Loans or other contingent transaction and such refinancing or transaction shall not be consummated or shall otherwise be delayed, and (ii) such prior written notice states that such prepayment is conditioned upon the closing on the proposed date of prepayment of a refinancing of the Term Loans or other contingent transaction. Any such voluntary prepayment shall be applied as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with respect to the Term Loans.</w:t>
      </w:r>
    </w:p>
    <w:p>
      <w:pPr>
        <w:spacing w:after="0" w:line="133"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48" w:hanging="546"/>
        <w:spacing w:after="0"/>
        <w:tabs>
          <w:tab w:leader="none" w:pos="164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8" w:firstLine="1645"/>
        <w:spacing w:after="0" w:line="216" w:lineRule="auto"/>
        <w:tabs>
          <w:tab w:leader="none" w:pos="220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 following the date of receipt by the Borrower or any Subsidiary of any Net Proceeds from Asset Sales (x) permitted by </w:t>
      </w:r>
      <w:r>
        <w:rPr>
          <w:rFonts w:ascii="Times New Roman" w:cs="Times New Roman" w:eastAsia="Times New Roman" w:hAnsi="Times New Roman"/>
          <w:sz w:val="18"/>
          <w:szCs w:val="18"/>
          <w:u w:val="single" w:color="auto"/>
          <w:color w:val="auto"/>
        </w:rPr>
        <w:t>Section 6.9(b)(xii)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(b)(xiv)</w:t>
      </w:r>
      <w:r>
        <w:rPr>
          <w:rFonts w:ascii="Times New Roman" w:cs="Times New Roman" w:eastAsia="Times New Roman" w:hAnsi="Times New Roman"/>
          <w:sz w:val="18"/>
          <w:szCs w:val="18"/>
          <w:color w:val="auto"/>
        </w:rPr>
        <w:t xml:space="preserve"> in excess of $[***] in the aggregate in any Fiscal Year with respect to all such applicable Asset Sales (with such limitation to be calculated for an applicable Fiscal Year together with the aggregate amount of Net Proceeds received for such Fiscal Year in respect of casualty insurance or condemnation awards as contemplated by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below), or (y) that are not permitted by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Borrower shall, in each case,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prepay the Term Loan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in an aggregate amount equal to such Net Proceeds (or, solely in the case of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such Net Proceeds in excess of the threshold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clause</w:t>
      </w:r>
    </w:p>
    <w:p>
      <w:pPr>
        <w:spacing w:after="0" w:line="4" w:lineRule="exact"/>
        <w:rPr>
          <w:rFonts w:ascii="Times New Roman" w:cs="Times New Roman" w:eastAsia="Times New Roman" w:hAnsi="Times New Roman"/>
          <w:sz w:val="18"/>
          <w:szCs w:val="18"/>
          <w:color w:val="auto"/>
        </w:rPr>
      </w:pPr>
    </w:p>
    <w:p>
      <w:pPr>
        <w:jc w:val="both"/>
        <w:ind w:left="8" w:hanging="8"/>
        <w:spacing w:after="0" w:line="218" w:lineRule="auto"/>
        <w:tabs>
          <w:tab w:leader="none" w:pos="269"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such prepayment shall not be required so long as (i) Borrower has delivered Administrative Agent prior written notice of Borrower’s intention to reinvest such monies in the business of the Borrower and its Subsidiaries, (ii) the Net Proceeds are held in a Deposit Account in which Administrative Agent has a perfected first-priority security interest, (iii) no Event of Default has occurred and is continuing or would result therefrom, (iv) to the extent such Asset Sale is made by a Loan Party, such Net Proceeds are reinvested in assets owned by a Loan Party, (v) to the extent such Asset Sale is of Collateral, such Net Proceeds are reinvested in assets that constitute Collateral, and (v) the Borrower and its Subsidiaries complete such reinvestment or purchase within [***] after the initial receipt of such monies (or within [***] after such initial receipt if such proceeds are contractually committed to be reinvested within such [***]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Net Proceeds are no longer intended to be or cannot be so reinvested or applied during the applicable [***] period (or [***] period, if applicable), and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auto"/>
        </w:rPr>
      </w:pPr>
    </w:p>
    <w:p>
      <w:pPr>
        <w:spacing w:after="0" w:line="200" w:lineRule="exact"/>
        <w:rPr>
          <w:rFonts w:ascii="Times New Roman" w:cs="Times New Roman" w:eastAsia="Times New Roman" w:hAnsi="Times New Roman"/>
          <w:sz w:val="18"/>
          <w:szCs w:val="18"/>
          <w:u w:val="single" w:color="auto"/>
          <w:color w:val="auto"/>
        </w:rPr>
      </w:pPr>
    </w:p>
    <w:p>
      <w:pPr>
        <w:spacing w:after="0" w:line="200" w:lineRule="exact"/>
        <w:rPr>
          <w:rFonts w:ascii="Times New Roman" w:cs="Times New Roman" w:eastAsia="Times New Roman" w:hAnsi="Times New Roman"/>
          <w:sz w:val="18"/>
          <w:szCs w:val="18"/>
          <w:u w:val="single" w:color="auto"/>
          <w:color w:val="auto"/>
        </w:rPr>
      </w:pPr>
    </w:p>
    <w:p>
      <w:pPr>
        <w:spacing w:after="0" w:line="229" w:lineRule="exact"/>
        <w:rPr>
          <w:rFonts w:ascii="Times New Roman" w:cs="Times New Roman" w:eastAsia="Times New Roman" w:hAnsi="Times New Roman"/>
          <w:sz w:val="18"/>
          <w:szCs w:val="18"/>
          <w:u w:val="single" w:color="auto"/>
          <w:color w:val="auto"/>
        </w:rPr>
      </w:pPr>
    </w:p>
    <w:p>
      <w:pPr>
        <w:ind w:left="5548" w:hanging="115"/>
        <w:spacing w:after="0"/>
        <w:tabs>
          <w:tab w:leader="none" w:pos="5548" w:val="left"/>
        </w:tabs>
        <w:numPr>
          <w:ilvl w:val="3"/>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ectPr>
          <w:pgSz w:w="11900" w:h="16838" w:orient="portrait"/>
          <w:cols w:equalWidth="0" w:num="1">
            <w:col w:w="11268"/>
          </w:cols>
          <w:pgMar w:left="312" w:top="1207" w:right="319" w:bottom="1440" w:gutter="0" w:footer="0" w:header="0"/>
        </w:sectPr>
      </w:pPr>
    </w:p>
    <w:bookmarkStart w:id="105" w:name="page106"/>
    <w:bookmarkEnd w:id="105"/>
    <w:p>
      <w:pPr>
        <w:spacing w:after="0" w:line="250" w:lineRule="auto"/>
        <w:rPr>
          <w:sz w:val="20"/>
          <w:szCs w:val="20"/>
          <w:color w:val="auto"/>
        </w:rPr>
      </w:pPr>
      <w:r>
        <w:rPr>
          <w:rFonts w:ascii="Times New Roman" w:cs="Times New Roman" w:eastAsia="Times New Roman" w:hAnsi="Times New Roman"/>
          <w:sz w:val="18"/>
          <w:szCs w:val="18"/>
          <w:color w:val="auto"/>
        </w:rPr>
        <w:t xml:space="preserve">an amount equal to any such Net Proceeds shall, within [***] after Borrower reasonably determines that such Net Proceeds are no longer intended to be or cannot be so reinvested or applied, be applied to the prepayment of the Term Loans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20" w:firstLine="1645"/>
        <w:spacing w:after="0" w:line="250" w:lineRule="auto"/>
        <w:tabs>
          <w:tab w:leader="none" w:pos="219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permit Borrower or any of its Subsidiaries to sell or otherwise dispose of any assets other than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firstLine="1094"/>
        <w:spacing w:after="0" w:line="217" w:lineRule="auto"/>
        <w:tabs>
          <w:tab w:leader="none" w:pos="16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No later than the [***] following the date of receipt by any Loan Party, or Administrative Agent as loss payee, of any Net Proceeds from casualty insurance or any condemnation, taking or other casualty in excess of $[***] in the aggregate in any Fiscal Year (with such limitation to be calculated for an applicable Fiscal Year together with the aggregate amount of Net Proceeds received for such Fiscal Year in respect of non-ordinary course Asset Sales as contemplated by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above), Borrower shall,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prepay the Term Loan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in an aggregate amount equal to such Net Proceeds in excess of $[***] (as so calculated);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prepayment shall not be required so long as (i) Borrower has delivered Administrative Agent prior written notice of Borrower’s intention to reinvest such monies in long-term assets used or useful in the business of the Borrower and its Subsidiaries, (ii) the Net Proceeds are held in a Deposit Account in which Administrative Agent has a perfected first-priority security interest, (iii) no Event of Default has occurred and is continuing or would result therefrom, (iv) to the extent such casualty or condemnation event occurs with respect to a Loan Party, such Net Proceeds are reinvested in long-term assets used or useful in the business of a Loan Party, (v) to the extent such casualty or condemnation event occurs with respect to Collateral, such Net Proceeds are reinvested in long-term assets used or useful in the business of the Borrower and its Subsidiaries that constitute Collateral, and (vi) the Borrower and its Subsidiaries complete such reinvestment or purchase within [***] after the initial receipt of such monies (or within [***] after such initial receipt if such proceeds are contractually committed to be reinvested within such [***]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Net Proceeds are no longer intended to be or cannot be so reinvested or applied during the applicable [***] period (or [***] period, if applicable), and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 amount equal to any such Net Proceeds shall, within [***] after Borrower reasonably determines that such Net Proceeds are no longer intended to be or cannot be so reinvested or applied, be applied to the prepayment of the Term Loans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(other than Replacement Term Loans)), Borrower shall prepay the Loans in an aggregate amount equal to 100% of such proceeds, net of underwriting discounts and commissions and other reasonable costs and expenses associated therewith, in each case, paid to non-Affiliates, including reasonable legal fees and expenses,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Certificate</w:t>
      </w:r>
      <w:r>
        <w:rPr>
          <w:rFonts w:ascii="Times New Roman" w:cs="Times New Roman" w:eastAsia="Times New Roman" w:hAnsi="Times New Roman"/>
          <w:sz w:val="18"/>
          <w:szCs w:val="18"/>
          <w:color w:val="auto"/>
        </w:rPr>
        <w:t xml:space="preserve">. Concurrently with any prepayment of the Term Loan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Borrower shall deliver to Administrative Agent a certificate of an Authorized Officer demonstrating the calculation of the amount of the applicable net proceeds and compensation owing to Lenders pursuant to the Lender Fee Letter, if any, as the case may be. In the event that Borrower shall subsequently determine that the actual amount received exceeded the amount set forth in such certificate, Borrower shall promptly make an additional prepayment of the Loans, and Borrower shall concurrently therewith deliver to Administrative Agent a certificate of an Authorized Officer demonstrating the derivation of such excess.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1260"/>
          </w:cols>
          <w:pgMar w:left="320" w:top="1207" w:right="319" w:bottom="1440" w:gutter="0" w:footer="0" w:header="0"/>
        </w:sectPr>
      </w:pPr>
    </w:p>
    <w:bookmarkStart w:id="106" w:name="page107"/>
    <w:bookmarkEnd w:id="106"/>
    <w:p>
      <w:pPr>
        <w:jc w:val="both"/>
        <w:ind w:left="-540" w:firstLine="1094"/>
        <w:spacing w:after="0" w:line="219" w:lineRule="auto"/>
        <w:tabs>
          <w:tab w:leader="none" w:pos="11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etc.</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to the extent that and for so long as the Borrower has reasonably determined in good faith (in consultation with the Administrative Agent) that repatriation of, or payment of, any of or all the Net Proceeds or Cash proceeds, as described in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from/by a Foreign Subsidiary would have a material adverse tax consequence with respect to such Net Proceeds or Cash proceeds (as reasonably determined by the Borrower in consultation with the Administrative Agent), the Net Proceeds or Cash proceeds, as applicable, so affected will not be required to be applied to prepay Term Loans at the times provided in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as the case may be, and such amounts may be retained by such Foreign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Borrower reasonably determines in good faith that repatriation of or payment by any or of all the Net Proceeds or Cash proceeds, in each case, from a Foreign Subsidiary would no longer have a material adverse tax consequence, such Net Proceeds or Cash proceeds shall be applied (net of additional taxes payable or reserved against as a result thereof) to the repayment of the Term Loans pursuant to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as applicable.</w:t>
      </w:r>
    </w:p>
    <w:p>
      <w:pPr>
        <w:spacing w:after="0" w:line="1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Application of Prepayments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540" w:firstLine="1094"/>
        <w:spacing w:after="0" w:line="229" w:lineRule="auto"/>
        <w:tabs>
          <w:tab w:leader="none" w:pos="11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Prepayments of Term Loans</w:t>
      </w:r>
      <w:r>
        <w:rPr>
          <w:rFonts w:ascii="Times New Roman" w:cs="Times New Roman" w:eastAsia="Times New Roman" w:hAnsi="Times New Roman"/>
          <w:sz w:val="18"/>
          <w:szCs w:val="18"/>
          <w:color w:val="auto"/>
        </w:rPr>
        <w:t xml:space="preserve">. (i) Any prepayment of the Term Loan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(ii) except in connection with any Waivable Mandatory Prepayment provided for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so long as no Application Event has occurred and is continuing, any mandatory prepayment of any Loan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in each case, shall be applied as follows (for the avoidance of doubt, with proceeds of Replacement Term Loans to be applied as set forth below to the payment of amounts in respect of the applicable Replaced Term Loans):</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prepay accrued and unpaid interest on the Term Loan;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 any Prepayment Premium payable thereon; and</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prepay the principal of the (i) Initial Term Loan, ratably, and (ii) Incremental Term Loans, ratably.</w:t>
      </w:r>
    </w:p>
    <w:p>
      <w:pPr>
        <w:spacing w:after="0" w:line="187" w:lineRule="exact"/>
        <w:rPr>
          <w:sz w:val="20"/>
          <w:szCs w:val="20"/>
          <w:color w:val="auto"/>
        </w:rPr>
      </w:pPr>
    </w:p>
    <w:p>
      <w:pPr>
        <w:jc w:val="both"/>
        <w:ind w:left="-540" w:firstLine="1094"/>
        <w:spacing w:after="0" w:line="236" w:lineRule="auto"/>
        <w:tabs>
          <w:tab w:leader="none" w:pos="11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Anything contained herein to the contrary notwithstanding, in the event Borrower is required to make any mandatory prepayment (a “</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of the Term Loans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not less than [***] prior to the date (the “</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on which Borrower is required to make such Waivable Mandatory Prepayment, Borrower shall notify Administrative Agent of the amount of such prepayment, and Administrative Agent will promptly thereafter notify each Lender holding an outstanding Term Loan of the amount of such Lender’s Pro Rata Share of such Waivable Mandatory Prepayment and such Lender’s option to refuse such amount. Each such Lender may exercise such option by giving written notice to Borrower and Administrative Agent of its election to do so on or before [***] prior to the Required Prepayment Date (it being understood that any Lender which does not notify Borrower and Administrative Agent of its election to exercise such option on or before [***] prior to the Required Prepayment Date shall be deemed to have elected, as of such date, not to exercise such option). On the Required Prepayment Date, Borrower shall pay to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and (ii) to the extent of any excess, to Borrower for working capital and general corporate purposes permitted hereunder and under the other Loan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000" w:hanging="115"/>
        <w:spacing w:after="0"/>
        <w:tabs>
          <w:tab w:leader="none" w:pos="5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0720"/>
          </w:cols>
          <w:pgMar w:left="860" w:top="1207" w:right="319" w:bottom="1440" w:gutter="0" w:footer="0" w:header="0"/>
        </w:sectPr>
      </w:pPr>
    </w:p>
    <w:bookmarkStart w:id="107" w:name="page108"/>
    <w:bookmarkEnd w:id="107"/>
    <w:p>
      <w:pPr>
        <w:jc w:val="both"/>
        <w:ind w:left="-540" w:firstLine="1094"/>
        <w:spacing w:after="0" w:line="229" w:lineRule="auto"/>
        <w:tabs>
          <w:tab w:leader="none" w:pos="11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Application Event has occurred and is continuing, all payments shall be applied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Nothing contained herein shall modify the provisions of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regarding the requirement that all prepayments be accompanied by accrued interest and fees on the principal amount being prepaid to the date of such prepayment and the applicable Prepayment Premium, or any requirement otherwise contained herein to pay all other amounts as the same become due and payable.</w:t>
      </w:r>
    </w:p>
    <w:p>
      <w:pPr>
        <w:spacing w:after="0" w:line="1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u w:val="single" w:color="auto"/>
          <w:color w:val="auto"/>
        </w:rPr>
        <w:t>General Provisions Regarding Payments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540" w:firstLine="1094"/>
        <w:spacing w:after="0" w:line="226" w:lineRule="auto"/>
        <w:tabs>
          <w:tab w:leader="none" w:pos="11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Borrower of principal, interest, fees and other Obligations shall be made in Dollars in immediately available funds, without defense, recoupment, setoff or counterclaim, free of any restriction or condition, and delivered to Administrative Agent, for the account of Lenders, not later than 1:00 p.m. (or such later time as the Administrative Agent may agree) on the date such payment is due and payable to Administrative Agent’s Account. Funds received by Administrative Agent after that time on such due date may be deemed to have been paid by Borrower on the next Business Day.</w:t>
      </w:r>
    </w:p>
    <w:p>
      <w:pPr>
        <w:spacing w:after="0" w:line="127" w:lineRule="exact"/>
        <w:rPr>
          <w:rFonts w:ascii="Times New Roman" w:cs="Times New Roman" w:eastAsia="Times New Roman" w:hAnsi="Times New Roman"/>
          <w:sz w:val="18"/>
          <w:szCs w:val="18"/>
          <w:color w:val="auto"/>
        </w:rPr>
      </w:pPr>
    </w:p>
    <w:p>
      <w:pPr>
        <w:jc w:val="both"/>
        <w:ind w:left="-540" w:firstLine="1094"/>
        <w:spacing w:after="0" w:line="234" w:lineRule="auto"/>
        <w:tabs>
          <w:tab w:leader="none" w:pos="11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Term Loan shall be accompanied by payment of accrued interest on the principal amount being repaid or prepaid, any Prepayment Premium (if applicable), and all other amounts payable with respect to the principal amount being repaid or prepaid.</w:t>
      </w:r>
    </w:p>
    <w:p>
      <w:pPr>
        <w:spacing w:after="0" w:line="129" w:lineRule="exact"/>
        <w:rPr>
          <w:rFonts w:ascii="Times New Roman" w:cs="Times New Roman" w:eastAsia="Times New Roman" w:hAnsi="Times New Roman"/>
          <w:sz w:val="18"/>
          <w:szCs w:val="18"/>
          <w:color w:val="auto"/>
        </w:rPr>
      </w:pPr>
    </w:p>
    <w:p>
      <w:pPr>
        <w:jc w:val="both"/>
        <w:ind w:left="-540" w:firstLine="1094"/>
        <w:spacing w:after="0" w:line="234" w:lineRule="auto"/>
        <w:tabs>
          <w:tab w:leader="none" w:pos="11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spacing w:after="0" w:line="129" w:lineRule="exact"/>
        <w:rPr>
          <w:rFonts w:ascii="Times New Roman" w:cs="Times New Roman" w:eastAsia="Times New Roman" w:hAnsi="Times New Roman"/>
          <w:sz w:val="18"/>
          <w:szCs w:val="18"/>
          <w:color w:val="auto"/>
        </w:rPr>
      </w:pPr>
    </w:p>
    <w:p>
      <w:pPr>
        <w:jc w:val="both"/>
        <w:ind w:left="-540" w:firstLine="1094"/>
        <w:spacing w:after="0" w:line="234" w:lineRule="auto"/>
        <w:tabs>
          <w:tab w:leader="none" w:pos="11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provisos set forth in the definition of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29" w:lineRule="exact"/>
        <w:rPr>
          <w:rFonts w:ascii="Times New Roman" w:cs="Times New Roman" w:eastAsia="Times New Roman" w:hAnsi="Times New Roman"/>
          <w:sz w:val="18"/>
          <w:szCs w:val="18"/>
          <w:color w:val="auto"/>
        </w:rPr>
      </w:pPr>
    </w:p>
    <w:p>
      <w:pPr>
        <w:jc w:val="both"/>
        <w:ind w:left="-540" w:firstLine="1094"/>
        <w:spacing w:after="0" w:line="221" w:lineRule="auto"/>
        <w:tabs>
          <w:tab w:leader="none" w:pos="111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shall deem any payment by or on behalf of Borrower hereunder that is not made in same day funds prior to 1:00 p.m. (or such later time as the Administrative Agent may agree) to be a non-conforming payment. Any such payment shall be deemed not to have been received by Administrative Agent until the later of (i) the time such funds become available funds, and (ii) the applicable next Business Day. Administrative Agent shall give prompt telephonic notice to Borrower and each applicable Lender (confirmed in writing) if any payment is non-conforming. Any non-conforming payment may constitute or become a Default or Event of Default in accordance with the terms of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Interest shall continue to accrue on any principal as to which a non-conforming payment is made until such funds become available funds (but in no event less than the period from the date of such payment to the next succeeding applicable Business Day) at the Default Rate determined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from the date such amount was due and payable until the date such amount is paid in full.</w:t>
      </w:r>
    </w:p>
    <w:p>
      <w:pPr>
        <w:spacing w:after="0" w:line="128" w:lineRule="exact"/>
        <w:rPr>
          <w:rFonts w:ascii="Times New Roman" w:cs="Times New Roman" w:eastAsia="Times New Roman" w:hAnsi="Times New Roman"/>
          <w:sz w:val="18"/>
          <w:szCs w:val="18"/>
          <w:color w:val="auto"/>
        </w:rPr>
      </w:pPr>
    </w:p>
    <w:p>
      <w:pPr>
        <w:jc w:val="both"/>
        <w:ind w:left="-540" w:firstLine="1094"/>
        <w:spacing w:after="0" w:line="229" w:lineRule="auto"/>
        <w:tabs>
          <w:tab w:leader="none" w:pos="11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Application Event has occurred and is continuing, or the maturity of the Obligations shall have been accelerated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000" w:hanging="115"/>
        <w:spacing w:after="0"/>
        <w:tabs>
          <w:tab w:leader="none" w:pos="50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ectPr>
          <w:pgSz w:w="11900" w:h="16838" w:orient="portrait"/>
          <w:cols w:equalWidth="0" w:num="1">
            <w:col w:w="10720"/>
          </w:cols>
          <w:pgMar w:left="860" w:top="1207" w:right="319" w:bottom="1440" w:gutter="0" w:footer="0" w:header="0"/>
        </w:sectPr>
      </w:pPr>
    </w:p>
    <w:bookmarkStart w:id="108" w:name="page109"/>
    <w:bookmarkEnd w:id="108"/>
    <w:p>
      <w:pPr>
        <w:ind w:firstLine="1102"/>
        <w:spacing w:after="0" w:line="295"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pay the Obligations in respect of any fees (other than any Prepayment Premium), expense reimbursements, indemnities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amounts then due and payable to Administrative Agent until paid in full;</w:t>
      </w:r>
    </w:p>
    <w:p>
      <w:pPr>
        <w:spacing w:after="0" w:line="1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pay interest then due and payable in respect of Protective Advances until paid in full;</w:t>
      </w:r>
    </w:p>
    <w:p>
      <w:pPr>
        <w:spacing w:after="0" w:line="20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pay principal of Protective Advances then due and payable until paid in full;</w:t>
      </w:r>
    </w:p>
    <w:p>
      <w:pPr>
        <w:spacing w:after="0" w:line="195" w:lineRule="exact"/>
        <w:rPr>
          <w:sz w:val="20"/>
          <w:szCs w:val="20"/>
          <w:color w:val="auto"/>
        </w:rPr>
      </w:pPr>
    </w:p>
    <w:p>
      <w:pPr>
        <w:ind w:firstLine="1102"/>
        <w:spacing w:after="0" w:line="295"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pay the Obligations in respect of any fees (other than any Prepayment Premium) and indemnities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Lenders with a Term Loan Commitment until paid in full;</w:t>
      </w:r>
    </w:p>
    <w:p>
      <w:pPr>
        <w:spacing w:after="0" w:line="1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pay interest then due and payable in respect of the Term Loan until paid in full;</w:t>
      </w:r>
    </w:p>
    <w:p>
      <w:pPr>
        <w:spacing w:after="0" w:line="195" w:lineRule="exact"/>
        <w:rPr>
          <w:sz w:val="20"/>
          <w:szCs w:val="20"/>
          <w:color w:val="auto"/>
        </w:rPr>
      </w:pPr>
    </w:p>
    <w:p>
      <w:pPr>
        <w:ind w:firstLine="1102"/>
        <w:spacing w:after="0" w:line="308" w:lineRule="auto"/>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ratably to pay the Obligations in respect of any Prepayment Premium then due and payable to the Lenders with a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until paid in full;</w:t>
      </w:r>
    </w:p>
    <w:p>
      <w:pPr>
        <w:spacing w:after="0" w:line="1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ratably to pay the principal of the Term Loan until paid in full; and</w:t>
      </w:r>
    </w:p>
    <w:p>
      <w:pPr>
        <w:spacing w:after="0" w:line="1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the ratable payment of all other Obligations then due and payable until paid in full.</w:t>
      </w:r>
    </w:p>
    <w:p>
      <w:pPr>
        <w:spacing w:after="0" w:line="172" w:lineRule="exact"/>
        <w:rPr>
          <w:sz w:val="20"/>
          <w:szCs w:val="20"/>
          <w:color w:val="auto"/>
        </w:rPr>
      </w:pPr>
    </w:p>
    <w:p>
      <w:pPr>
        <w:jc w:val="both"/>
        <w:ind w:firstLine="1094"/>
        <w:spacing w:after="0" w:line="220" w:lineRule="auto"/>
        <w:tabs>
          <w:tab w:leader="none" w:pos="16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(other than clause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clause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33"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direct conflict between the priority provisions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shall control and govern.</w:t>
      </w:r>
    </w:p>
    <w:p>
      <w:pPr>
        <w:spacing w:after="0" w:line="128"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ectPr>
          <w:pgSz w:w="11900" w:h="16838" w:orient="portrait"/>
          <w:cols w:equalWidth="0" w:num="1">
            <w:col w:w="11260"/>
          </w:cols>
          <w:pgMar w:left="320" w:top="1226" w:right="319" w:bottom="1440" w:gutter="0" w:footer="0" w:header="0"/>
        </w:sectPr>
      </w:pPr>
    </w:p>
    <w:bookmarkStart w:id="109" w:name="page110"/>
    <w:bookmarkEnd w:id="109"/>
    <w:p>
      <w:pPr>
        <w:jc w:val="both"/>
        <w:ind w:firstLine="1094"/>
        <w:spacing w:after="0" w:line="234" w:lineRule="auto"/>
        <w:tabs>
          <w:tab w:leader="none" w:pos="16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29" w:lineRule="exact"/>
        <w:rPr>
          <w:sz w:val="20"/>
          <w:szCs w:val="20"/>
          <w:color w:val="auto"/>
        </w:rPr>
      </w:pPr>
    </w:p>
    <w:p>
      <w:pPr>
        <w:jc w:val="both"/>
        <w:ind w:firstLine="551"/>
        <w:spacing w:after="0" w:line="230"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provided, if all or part of such proportionately greater payment received by such purchasing Lender is thereafter recovered from such Lender upon the bankruptcy or reorganization of Borrower or otherwise, those purchases shall be rescinded and the purchase prices paid for such participations shall be returned to such purchasing Lender ratably to the extent of such recovery, but without interest. Borrower expressly consents to the foregoing arrangement and agrees that any holder of a participation so purchased may exercise any and all rights of banker’s lien, set off or counterclaim with respect to any and all monies owing by Borrower to that holder with respect thereto as fully as if that holder were owed the amount of the participation held by that holder.</w:t>
      </w:r>
    </w:p>
    <w:p>
      <w:pPr>
        <w:spacing w:after="0" w:line="133"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Increased Costs; Capital Adequacy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18" w:lineRule="auto"/>
        <w:tabs>
          <w:tab w:leader="none" w:pos="16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Increased Costs</w:t>
      </w:r>
      <w:r>
        <w:rPr>
          <w:rFonts w:ascii="Times New Roman" w:cs="Times New Roman" w:eastAsia="Times New Roman" w:hAnsi="Times New Roman"/>
          <w:sz w:val="18"/>
          <w:szCs w:val="18"/>
          <w:color w:val="auto"/>
        </w:rPr>
        <w:t>.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 Indemnified Taxes, (B) Taxes described in clauses (b) through (d) of the definition of Excluded Taxes and (C) Other Connection Taxes that are imposed on or measured by net income (however denominated) or that are franchise Taxes or branch profits Taxes);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Administrative Agent or such Lender (other than any such reserve or other requirements with respect to SOFR Loans that are reflected in the definition of Term SOFR); or (iii) imposes any other condition (other than with respect to Taxes) on or affecting Administrative agent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1260"/>
          </w:cols>
          <w:pgMar w:left="320" w:top="1207" w:right="319" w:bottom="1440" w:gutter="0" w:footer="0" w:header="0"/>
        </w:sectPr>
      </w:pPr>
    </w:p>
    <w:bookmarkStart w:id="110" w:name="page111"/>
    <w:bookmarkEnd w:id="110"/>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such Lender (or its applicable lending office) or its obligations hereunder; and the result of any of the foregoing is to increase the cost to Administrative Agent or such Lender of agreeing to make, making or maintaining Loans hereunder or to reduce any amount received or receivable by Administrative Agent or such Lender (or its applicable lending office) with respect thereto; then, in any such case, Borrower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Borrower (with a copy to Administrative Agent, if applicable) a written statement, setting forth in reasonable detail the basis for calculating the additional amounts owed to Administrative Agent or such Lender under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which statement shall be conclusive and binding upon all parties hereto absent manifest error. [***].</w:t>
      </w:r>
    </w:p>
    <w:p>
      <w:pPr>
        <w:spacing w:after="0" w:line="130" w:lineRule="exact"/>
        <w:rPr>
          <w:sz w:val="20"/>
          <w:szCs w:val="20"/>
          <w:color w:val="auto"/>
        </w:rPr>
      </w:pPr>
    </w:p>
    <w:p>
      <w:pPr>
        <w:jc w:val="both"/>
        <w:ind w:firstLine="1094"/>
        <w:spacing w:after="0" w:line="218" w:lineRule="auto"/>
        <w:tabs>
          <w:tab w:leader="none" w:pos="16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Adequacy Adjustment</w:t>
      </w:r>
      <w:r>
        <w:rPr>
          <w:rFonts w:ascii="Times New Roman" w:cs="Times New Roman" w:eastAsia="Times New Roman" w:hAnsi="Times New Roman"/>
          <w:sz w:val="18"/>
          <w:szCs w:val="18"/>
          <w:color w:val="auto"/>
        </w:rPr>
        <w:t xml:space="preserve">.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Borrower from such Lender of the statement referred to in the next sentence, Borrower shall pay to such Lender such additional amount or amounts as will compensate such Lender or such controlling corporation for such reduction. Such Lender shall deliver to Borrower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which statement shall be conclusive and binding upon all parties hereto absent manifest error. [***].</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8"/>
          <w:szCs w:val="18"/>
          <w:u w:val="single" w:color="auto"/>
          <w:color w:val="auto"/>
        </w:rPr>
        <w:t>Taxes; Withholding, Etc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19" w:lineRule="auto"/>
        <w:tabs>
          <w:tab w:leader="none" w:pos="16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xml:space="preserve">. All sums payable by any Loan Party hereunder and under the other Loan Documents shall (except to the extent required by applicable law) be paid free and clear of, and without any deduction or withholding on account of, any Tax. If any Loan Party or any other Person is required by law to make any deduction or withholding on account of any Tax with respect to any sum paid or payable by any Loan Party to Administrative Agent or any Lender under any of the Loan Documents: (1) Borrower or the applicable Loan Party, if it is the applicable withholding agent, shall timely pay any such Tax to the applicable Governmental Authority; (2) if such Tax is an Indemnified Tax, then the sum payable by the applicable Loan Party shall be increased to the extent necessary to ensure that, after all such deductions or withholdings have been made by any applicable withholding agent (including any such deductions or withholdings applicable to additional sums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applicable Lender (or, in the case of payments made to the Administrative Agent for its own account, the Administrative Agent) receives on the due date a net sum equal to what it would have received had no such deduction or withholding been required or made; and (3) as soon as practicable after paying any sum from which Borrower or any other Loan Party is required by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1260"/>
          </w:cols>
          <w:pgMar w:left="320" w:top="1207" w:right="319" w:bottom="1440" w:gutter="0" w:footer="0" w:header="0"/>
        </w:sectPr>
      </w:pPr>
    </w:p>
    <w:bookmarkStart w:id="111" w:name="page112"/>
    <w:bookmarkEnd w:id="111"/>
    <w:p>
      <w:pPr>
        <w:ind w:right="20"/>
        <w:spacing w:after="0" w:line="250" w:lineRule="auto"/>
        <w:rPr>
          <w:sz w:val="20"/>
          <w:szCs w:val="20"/>
          <w:color w:val="auto"/>
        </w:rPr>
      </w:pPr>
      <w:r>
        <w:rPr>
          <w:rFonts w:ascii="Times New Roman" w:cs="Times New Roman" w:eastAsia="Times New Roman" w:hAnsi="Times New Roman"/>
          <w:sz w:val="18"/>
          <w:szCs w:val="18"/>
          <w:color w:val="auto"/>
        </w:rPr>
        <w:t>law to make any deduction or withholding, Borrower shall deliver to Administrative Agent, if applicable, evidence satisfactory to Administrative Agent of such deduction or withholding and of the remittance thereof to the relevant Governmental Authority.</w:t>
      </w:r>
    </w:p>
    <w:p>
      <w:pPr>
        <w:spacing w:after="0" w:line="120" w:lineRule="exact"/>
        <w:rPr>
          <w:sz w:val="20"/>
          <w:szCs w:val="20"/>
          <w:color w:val="auto"/>
        </w:rPr>
      </w:pPr>
    </w:p>
    <w:p>
      <w:pPr>
        <w:jc w:val="both"/>
        <w:ind w:firstLine="1094"/>
        <w:spacing w:after="0" w:line="223" w:lineRule="auto"/>
        <w:tabs>
          <w:tab w:leader="none" w:pos="16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The Loan Parties shall pay to the relevant Governmental Authorities (or, at the option of Administrative Agent, timely reimburse it for the payment of) any present or future stamp, court, documentary, intangible, recording, filing or similar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Within [***] after paying any such Other Taxes, each Loan Party shall deliver to Administrative Agent evidence satisfactory to Administrative Agent that such Other Taxes have been paid to the relevant Governmental Authority.</w:t>
      </w:r>
    </w:p>
    <w:p>
      <w:pPr>
        <w:spacing w:after="0" w:line="132"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645"/>
        <w:spacing w:after="0" w:line="218" w:lineRule="auto"/>
        <w:tabs>
          <w:tab w:leader="none" w:pos="219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hereby jointly and severally agree to indemnify and hold Administrative Agent and any Lender harmless from and against all Indemnified Taxes (including, without limitation, Indemnified Taxes imposed or asserted on or attributable to any amounts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payable or paid by such Person or required to be withheld or deducted with respect to any payment to such Person and any reasonable expenses arising therefrom or with respect thereto, whether or not such Indemnified Taxes were correctly or legally imposed or asserted;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reasonably believes that such Taxes were not correctly or legally asserted, the Administrative Agent or such Lender, as applicable, will, at the Borrower’s request, use reasonable efforts to cooperate with the Borrower to obtain a refund of such Taxes (which shall be repaid to the Borrower in accordance with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 so long as such efforts would not, in the sole determination of the Administrative Agent or such Lender, result in any additional out-of-pocket costs or expenses not reimbursed by such Loan Party or be otherwise materially disadvantageous to the Administrative Agent or such Lender, as applicable. Such indemnification shall be paid within [***]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36" w:lineRule="exact"/>
        <w:rPr>
          <w:rFonts w:ascii="Times New Roman" w:cs="Times New Roman" w:eastAsia="Times New Roman" w:hAnsi="Times New Roman"/>
          <w:sz w:val="18"/>
          <w:szCs w:val="18"/>
          <w:color w:val="auto"/>
        </w:rPr>
      </w:pPr>
    </w:p>
    <w:p>
      <w:pPr>
        <w:jc w:val="both"/>
        <w:ind w:firstLine="1645"/>
        <w:spacing w:after="0" w:line="220" w:lineRule="auto"/>
        <w:tabs>
          <w:tab w:leader="none" w:pos="21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severally indemnify Administrative Agent, within [***] after written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10.6(h)(ii)</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12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Exemption From Withholding Tax</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ectPr>
          <w:pgSz w:w="11900" w:h="16838" w:orient="portrait"/>
          <w:cols w:equalWidth="0" w:num="1">
            <w:col w:w="11260"/>
          </w:cols>
          <w:pgMar w:left="320" w:top="1207" w:right="319" w:bottom="1440" w:gutter="0" w:footer="0" w:header="0"/>
        </w:sectPr>
      </w:pPr>
    </w:p>
    <w:bookmarkStart w:id="112" w:name="page113"/>
    <w:bookmarkEnd w:id="112"/>
    <w:p>
      <w:pPr>
        <w:jc w:val="both"/>
        <w:ind w:left="-1094" w:firstLine="1645"/>
        <w:spacing w:after="0" w:line="219" w:lineRule="auto"/>
        <w:tabs>
          <w:tab w:leader="none" w:pos="11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any exemption from or reduction of withholding Tax with respect to any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2.15(d)(i)(A)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w:t>
      </w:r>
    </w:p>
    <w:p>
      <w:pPr>
        <w:spacing w:after="0" w:line="132" w:lineRule="exact"/>
        <w:rPr>
          <w:rFonts w:ascii="Times New Roman" w:cs="Times New Roman" w:eastAsia="Times New Roman" w:hAnsi="Times New Roman"/>
          <w:sz w:val="18"/>
          <w:szCs w:val="18"/>
          <w:color w:val="auto"/>
        </w:rPr>
      </w:pPr>
    </w:p>
    <w:p>
      <w:pPr>
        <w:jc w:val="both"/>
        <w:ind w:left="-554" w:firstLine="554"/>
        <w:spacing w:after="0" w:line="234" w:lineRule="auto"/>
        <w:tabs>
          <w:tab w:leader="none" w:pos="53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129" w:lineRule="exact"/>
        <w:rPr>
          <w:rFonts w:ascii="Times New Roman" w:cs="Times New Roman" w:eastAsia="Times New Roman" w:hAnsi="Times New Roman"/>
          <w:sz w:val="18"/>
          <w:szCs w:val="18"/>
          <w:color w:val="auto"/>
        </w:rPr>
      </w:pPr>
    </w:p>
    <w:p>
      <w:pPr>
        <w:jc w:val="both"/>
        <w:ind w:left="-554" w:right="20" w:firstLine="55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298" w:lineRule="exact"/>
        <w:rPr>
          <w:sz w:val="20"/>
          <w:szCs w:val="20"/>
          <w:color w:val="auto"/>
        </w:rPr>
      </w:pPr>
    </w:p>
    <w:p>
      <w:pPr>
        <w:jc w:val="both"/>
        <w:ind w:left="6" w:firstLine="545"/>
        <w:spacing w:after="0" w:line="234" w:lineRule="auto"/>
        <w:tabs>
          <w:tab w:leader="none" w:pos="110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executed copies of IRS Form W-8BEN or IRS Form W-8BEN-E establishing an exemption from, or reduction of, U.S. federal withholding Tax pursuant to such tax treaty;</w:t>
      </w:r>
    </w:p>
    <w:p>
      <w:pPr>
        <w:spacing w:after="0" w:line="129" w:lineRule="exact"/>
        <w:rPr>
          <w:rFonts w:ascii="Times New Roman" w:cs="Times New Roman" w:eastAsia="Times New Roman" w:hAnsi="Times New Roman"/>
          <w:sz w:val="18"/>
          <w:szCs w:val="18"/>
          <w:color w:val="auto"/>
        </w:rPr>
      </w:pPr>
    </w:p>
    <w:p>
      <w:pPr>
        <w:ind w:left="1106" w:hanging="555"/>
        <w:spacing w:after="0"/>
        <w:tabs>
          <w:tab w:leader="none" w:pos="11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60" w:lineRule="exact"/>
        <w:rPr>
          <w:rFonts w:ascii="Times New Roman" w:cs="Times New Roman" w:eastAsia="Times New Roman" w:hAnsi="Times New Roman"/>
          <w:sz w:val="18"/>
          <w:szCs w:val="18"/>
          <w:color w:val="auto"/>
        </w:rPr>
      </w:pPr>
    </w:p>
    <w:p>
      <w:pPr>
        <w:jc w:val="both"/>
        <w:ind w:left="6" w:firstLine="545"/>
        <w:spacing w:after="0" w:line="220" w:lineRule="auto"/>
        <w:tabs>
          <w:tab w:leader="none" w:pos="110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Code, a “10 percent shareholder” of Borrower within the meaning of Section 871(h)(3)</w:t>
      </w:r>
    </w:p>
    <w:p>
      <w:pPr>
        <w:spacing w:after="0" w:line="1" w:lineRule="exact"/>
        <w:rPr>
          <w:rFonts w:ascii="Times New Roman" w:cs="Times New Roman" w:eastAsia="Times New Roman" w:hAnsi="Times New Roman"/>
          <w:sz w:val="18"/>
          <w:szCs w:val="18"/>
          <w:color w:val="auto"/>
        </w:rPr>
      </w:pPr>
    </w:p>
    <w:p>
      <w:pPr>
        <w:jc w:val="both"/>
        <w:ind w:left="6" w:right="20" w:hanging="6"/>
        <w:spacing w:after="0"/>
        <w:tabs>
          <w:tab w:leader="none" w:pos="2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Internal Revenue Code, or a “controlled foreign corporation” related to any Loan Party described in Section 881(c)(3)(C) of the Internal Revenue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300" w:lineRule="exact"/>
        <w:rPr>
          <w:rFonts w:ascii="Times New Roman" w:cs="Times New Roman" w:eastAsia="Times New Roman" w:hAnsi="Times New Roman"/>
          <w:sz w:val="18"/>
          <w:szCs w:val="18"/>
          <w:color w:val="auto"/>
        </w:rPr>
      </w:pPr>
    </w:p>
    <w:p>
      <w:pPr>
        <w:jc w:val="both"/>
        <w:ind w:left="6" w:firstLine="545"/>
        <w:spacing w:after="0" w:line="226" w:lineRule="auto"/>
        <w:tabs>
          <w:tab w:leader="none" w:pos="110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(for example, where the Foreign Lender is a partnership or a participating Lender), executed copies of IRS Form W-8IMY, accompanied by IRS Form W-8ECI, IRS Form W-8BEN, IRS Form W-8BEN-E, a U.S. Tax Compliance Certificate substantially in the form of Exhibit G-2 or Exhibit G-3, IRS Form W-9, 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4446" w:hanging="115"/>
        <w:spacing w:after="0"/>
        <w:tabs>
          <w:tab w:leader="none" w:pos="444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0166"/>
          </w:cols>
          <w:pgMar w:left="1414" w:top="1207" w:right="319" w:bottom="1440" w:gutter="0" w:footer="0" w:header="0"/>
        </w:sectPr>
      </w:pPr>
    </w:p>
    <w:bookmarkStart w:id="113" w:name="page114"/>
    <w:bookmarkEnd w:id="113"/>
    <w:p>
      <w:pPr>
        <w:ind w:left="6"/>
        <w:spacing w:after="0" w:line="250" w:lineRule="auto"/>
        <w:rPr>
          <w:sz w:val="20"/>
          <w:szCs w:val="20"/>
          <w:color w:val="auto"/>
        </w:rPr>
      </w:pPr>
      <w:r>
        <w:rPr>
          <w:rFonts w:ascii="Times New Roman" w:cs="Times New Roman" w:eastAsia="Times New Roman" w:hAnsi="Times New Roman"/>
          <w:sz w:val="18"/>
          <w:szCs w:val="18"/>
          <w:color w:val="auto"/>
        </w:rPr>
        <w:t>interest exemption, such Foreign Lender may provide a U.S. Tax Compliance Certificate substantially in the form of Exhibit G-4 on behalf of such direct and indirect partner(s);</w:t>
      </w:r>
    </w:p>
    <w:p>
      <w:pPr>
        <w:spacing w:after="0" w:line="120" w:lineRule="exact"/>
        <w:rPr>
          <w:sz w:val="20"/>
          <w:szCs w:val="20"/>
          <w:color w:val="auto"/>
        </w:rPr>
      </w:pPr>
    </w:p>
    <w:p>
      <w:pPr>
        <w:jc w:val="both"/>
        <w:ind w:left="-1094" w:firstLine="1645"/>
        <w:spacing w:after="0" w:line="223" w:lineRule="auto"/>
        <w:tabs>
          <w:tab w:leader="none" w:pos="110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32" w:lineRule="exact"/>
        <w:rPr>
          <w:rFonts w:ascii="Times New Roman" w:cs="Times New Roman" w:eastAsia="Times New Roman" w:hAnsi="Times New Roman"/>
          <w:sz w:val="18"/>
          <w:szCs w:val="18"/>
          <w:color w:val="auto"/>
        </w:rPr>
      </w:pPr>
    </w:p>
    <w:p>
      <w:pPr>
        <w:jc w:val="both"/>
        <w:ind w:left="-1094" w:firstLine="1645"/>
        <w:spacing w:after="0"/>
        <w:tabs>
          <w:tab w:leader="none" w:pos="111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2.15(d)(iii)</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1" w:lineRule="exact"/>
        <w:rPr>
          <w:rFonts w:ascii="Times New Roman" w:cs="Times New Roman" w:eastAsia="Times New Roman" w:hAnsi="Times New Roman"/>
          <w:sz w:val="18"/>
          <w:szCs w:val="18"/>
          <w:color w:val="auto"/>
        </w:rPr>
      </w:pPr>
    </w:p>
    <w:p>
      <w:pPr>
        <w:jc w:val="both"/>
        <w:ind w:left="-1094" w:firstLine="1645"/>
        <w:spacing w:after="0" w:line="229" w:lineRule="auto"/>
        <w:tabs>
          <w:tab w:leader="none" w:pos="11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a Lender or Administrative Agent shall not be required to deliver any documentation pursuant to this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that such Lender or Administrative Agent is not legally eligible to deliver;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paragraph (iv)</w:t>
      </w:r>
      <w:r>
        <w:rPr>
          <w:rFonts w:ascii="Times New Roman" w:cs="Times New Roman" w:eastAsia="Times New Roman" w:hAnsi="Times New Roman"/>
          <w:sz w:val="18"/>
          <w:szCs w:val="18"/>
          <w:color w:val="auto"/>
        </w:rPr>
        <w:t xml:space="preserve"> shall apply in respect of US tax forms required from an Administrative Agent solely to the extent that such legal ineligibility results from a change in law after the date such Administrative Agent becomes a party hereto.</w:t>
      </w:r>
    </w:p>
    <w:p>
      <w:pPr>
        <w:spacing w:after="0" w:line="128" w:lineRule="exact"/>
        <w:rPr>
          <w:rFonts w:ascii="Times New Roman" w:cs="Times New Roman" w:eastAsia="Times New Roman" w:hAnsi="Times New Roman"/>
          <w:sz w:val="18"/>
          <w:szCs w:val="18"/>
          <w:color w:val="auto"/>
        </w:rPr>
      </w:pPr>
    </w:p>
    <w:p>
      <w:pPr>
        <w:jc w:val="both"/>
        <w:ind w:left="-1094" w:firstLine="1645"/>
        <w:spacing w:after="0"/>
        <w:tabs>
          <w:tab w:leader="none" w:pos="110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Closing Date (and on or before the date any successor or replacement Administrative Agent becomes the Administrative Agent hereunder), to the extent copies thereof have not previously been so delivered, the Administrative Agent shall deliver to the Borrower duly completed and executed copies of either (i) IRS Form W-9 (or any subsequent versions thereof or successors thereto) or (ii) (A) IRS Form W-8IMY (or any subsequent versions thereof or successors thereto) certifying that it is a “</w:t>
      </w:r>
      <w:r>
        <w:rPr>
          <w:rFonts w:ascii="Times New Roman" w:cs="Times New Roman" w:eastAsia="Times New Roman" w:hAnsi="Times New Roman"/>
          <w:sz w:val="18"/>
          <w:szCs w:val="18"/>
          <w:u w:val="single" w:color="auto"/>
          <w:color w:val="auto"/>
        </w:rPr>
        <w:t>U.S. branch</w:t>
      </w:r>
      <w:r>
        <w:rPr>
          <w:rFonts w:ascii="Times New Roman" w:cs="Times New Roman" w:eastAsia="Times New Roman" w:hAnsi="Times New Roman"/>
          <w:sz w:val="18"/>
          <w:szCs w:val="18"/>
          <w:color w:val="auto"/>
        </w:rPr>
        <w:t>” of a foreign bank and evidencing its agreement with the Borrower to be treated as a U.S. person with respect to payments made to it by the Loan Parties such that the Administrative Agent assumes primary withholding and reporting responsibilities and (B) IRS Form W-8ECI with respect to any amount payable to the Administrative Agent for its own account.</w:t>
      </w:r>
    </w:p>
    <w:p>
      <w:pPr>
        <w:spacing w:after="0" w:line="227" w:lineRule="exact"/>
        <w:rPr>
          <w:rFonts w:ascii="Times New Roman" w:cs="Times New Roman" w:eastAsia="Times New Roman" w:hAnsi="Times New Roman"/>
          <w:sz w:val="18"/>
          <w:szCs w:val="18"/>
          <w:color w:val="auto"/>
        </w:rPr>
      </w:pPr>
    </w:p>
    <w:p>
      <w:pPr>
        <w:jc w:val="both"/>
        <w:ind w:left="-1094" w:firstLine="1645"/>
        <w:spacing w:after="0" w:line="234" w:lineRule="auto"/>
        <w:tabs>
          <w:tab w:leader="none" w:pos="11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the Administrative Agent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ineligibility to do so.</w:t>
      </w:r>
    </w:p>
    <w:p>
      <w:pPr>
        <w:spacing w:after="0" w:line="129" w:lineRule="exact"/>
        <w:rPr>
          <w:rFonts w:ascii="Times New Roman" w:cs="Times New Roman" w:eastAsia="Times New Roman" w:hAnsi="Times New Roman"/>
          <w:sz w:val="18"/>
          <w:szCs w:val="18"/>
          <w:color w:val="auto"/>
        </w:rPr>
      </w:pPr>
    </w:p>
    <w:p>
      <w:pPr>
        <w:ind w:left="-1094" w:firstLine="1094"/>
        <w:spacing w:after="0" w:line="250" w:lineRule="auto"/>
        <w:tabs>
          <w:tab w:leader="none" w:pos="5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by the payment of additional amounts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4446" w:hanging="115"/>
        <w:spacing w:after="0"/>
        <w:tabs>
          <w:tab w:leader="none" w:pos="444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0166"/>
          </w:cols>
          <w:pgMar w:left="1414" w:top="1207" w:right="319" w:bottom="1440" w:gutter="0" w:footer="0" w:header="0"/>
        </w:sectPr>
      </w:pPr>
    </w:p>
    <w:bookmarkStart w:id="114" w:name="page115"/>
    <w:bookmarkEnd w:id="114"/>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37"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Obligation to Mitigate</w:t>
      </w:r>
      <w:r>
        <w:rPr>
          <w:rFonts w:ascii="Times New Roman" w:cs="Times New Roman" w:eastAsia="Times New Roman" w:hAnsi="Times New Roman"/>
          <w:sz w:val="18"/>
          <w:szCs w:val="18"/>
          <w:color w:val="auto"/>
        </w:rPr>
        <w:t xml:space="preserve">.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it will, to the extent not inconsistent with the internal policies of such Lender and any applicable legal or regulatory restrictions, use reasonable efforts to (a) make, issue, fund or maintain its Credit Extensions, including any Affected Loans, through another office of such Lender, or (b) take such other measures as such Lender may deem reasonable, if as a result thereof the circumstances that would cause such Lender to be an Affected Lender would cease to exist or the additional amounts that would otherwise be required to be paid to such Lender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would be materially reduced and if, as determined by such Lender in its sole discretion, the making, issuing, funding or maintaining of such Term Loans through such other office or in accordance with such other measures, as the case may be, would not otherwise adversely affect such Term Loans or the interests of such Lender; provided, such Lender will not be obligated to take any of the foregoing measures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Borrower agrees to pay all incremental expenses incurred by such Lender as a result of taking such actions as described above. A certificate as to the amount of any such expenses payable by Borrower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(setting forth in reasonable detail the basis for requesting such amount) submitted by such Lender to Borrower (with a copy to Administrative Agent) shall be conclusive absent manifest error.</w:t>
      </w:r>
    </w:p>
    <w:p>
      <w:pPr>
        <w:spacing w:after="0" w:line="128" w:lineRule="exact"/>
        <w:rPr>
          <w:sz w:val="20"/>
          <w:szCs w:val="20"/>
          <w:color w:val="auto"/>
        </w:rPr>
      </w:pPr>
    </w:p>
    <w:p>
      <w:pPr>
        <w:jc w:val="both"/>
        <w:ind w:firstLine="551"/>
        <w:spacing w:after="0" w:line="220"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Anything contained herein to the contrary notwithstanding, in the event that any Lender becomes the subject of a Bail-in Action, or, other than at the direction or request of any regulatory agency or authority, defaults (in each case, a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in its obligation to fund (a “</w:t>
      </w:r>
      <w:r>
        <w:rPr>
          <w:rFonts w:ascii="Times New Roman" w:cs="Times New Roman" w:eastAsia="Times New Roman" w:hAnsi="Times New Roman"/>
          <w:sz w:val="18"/>
          <w:szCs w:val="18"/>
          <w:u w:val="single" w:color="auto"/>
          <w:color w:val="auto"/>
        </w:rPr>
        <w:t>Funding Default</w:t>
      </w:r>
      <w:r>
        <w:rPr>
          <w:rFonts w:ascii="Times New Roman" w:cs="Times New Roman" w:eastAsia="Times New Roman" w:hAnsi="Times New Roman"/>
          <w:sz w:val="18"/>
          <w:szCs w:val="18"/>
          <w:color w:val="auto"/>
        </w:rPr>
        <w:t>”) a Term Loan (in each case, a “</w:t>
      </w:r>
      <w:r>
        <w:rPr>
          <w:rFonts w:ascii="Times New Roman" w:cs="Times New Roman" w:eastAsia="Times New Roman" w:hAnsi="Times New Roman"/>
          <w:sz w:val="18"/>
          <w:szCs w:val="18"/>
          <w:u w:val="single" w:color="auto"/>
          <w:color w:val="auto"/>
        </w:rPr>
        <w:t>Defaulted Loan</w:t>
      </w:r>
      <w:r>
        <w:rPr>
          <w:rFonts w:ascii="Times New Roman" w:cs="Times New Roman" w:eastAsia="Times New Roman" w:hAnsi="Times New Roman"/>
          <w:sz w:val="18"/>
          <w:szCs w:val="18"/>
          <w:color w:val="auto"/>
        </w:rPr>
        <w:t>”), then (a) during any Default Period with respect to such Defaulting Lender, such Defaulting Lender shall be deemed not to be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1260"/>
          </w:cols>
          <w:pgMar w:left="320" w:top="1207" w:right="319" w:bottom="1440" w:gutter="0" w:footer="0" w:header="0"/>
        </w:sectPr>
      </w:pPr>
    </w:p>
    <w:bookmarkStart w:id="115" w:name="page116"/>
    <w:bookmarkEnd w:id="115"/>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the Term Loans of other Lenders (but not to the Term Loans of such Defaulting Lender) as if such Defaulting Lender had funded all Defaulted Loans of such Defaulting Lender, it being understood and agreed that Borrower shall be entitled to retain any portion of any mandatory prepayment of the Term Loans that is not paid to such Defaulting Lender solely as a result of the operation of the provisions of this clause (b). No Term Loan Commitment of any Lender shall be increased or otherwise affected, and, except as otherwise expressly provided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performance by Borrower of its obligations hereunder and the other Loan Documents shall not be excused or otherwise modified as a result of any Funding Default or the operation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 rights and remedies against a Defaulting Lender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are in addition to other rights and remedies that Borrower may have against such Defaulting Lender with respect to any Funding Default and that Administrative Agent or any Lender may have against such Defaulting Lender with respect to any Funding Default.</w:t>
      </w:r>
    </w:p>
    <w:p>
      <w:pPr>
        <w:spacing w:after="0" w:line="129"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8"/>
          <w:szCs w:val="18"/>
          <w:u w:val="single" w:color="auto"/>
          <w:color w:val="auto"/>
        </w:rPr>
        <w:t>Making or Maintaining SOFR Loans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40" w:hanging="546"/>
        <w:spacing w:after="0"/>
        <w:tabs>
          <w:tab w:leader="none" w:pos="1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if, on or prior to the first day of any Interest Period for any SOFR Loan:</w:t>
      </w:r>
    </w:p>
    <w:p>
      <w:pPr>
        <w:spacing w:after="0" w:line="160" w:lineRule="exact"/>
        <w:rPr>
          <w:rFonts w:ascii="Times New Roman" w:cs="Times New Roman" w:eastAsia="Times New Roman" w:hAnsi="Times New Roman"/>
          <w:sz w:val="18"/>
          <w:szCs w:val="18"/>
          <w:color w:val="auto"/>
        </w:rPr>
      </w:pPr>
    </w:p>
    <w:p>
      <w:pPr>
        <w:ind w:right="20" w:firstLine="1645"/>
        <w:spacing w:after="0" w:line="250" w:lineRule="auto"/>
        <w:tabs>
          <w:tab w:leader="none" w:pos="219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reasonable and adequate means do not exist for ascertaining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cannot be determined pursuant to the definition thereof, or</w:t>
      </w:r>
    </w:p>
    <w:p>
      <w:pPr>
        <w:spacing w:after="0" w:line="119" w:lineRule="exact"/>
        <w:rPr>
          <w:rFonts w:ascii="Times New Roman" w:cs="Times New Roman" w:eastAsia="Times New Roman" w:hAnsi="Times New Roman"/>
          <w:sz w:val="18"/>
          <w:szCs w:val="18"/>
          <w:color w:val="auto"/>
        </w:rPr>
      </w:pPr>
    </w:p>
    <w:p>
      <w:pPr>
        <w:jc w:val="both"/>
        <w:ind w:firstLine="1645"/>
        <w:spacing w:after="0" w:line="229" w:lineRule="auto"/>
        <w:tabs>
          <w:tab w:leader="none" w:pos="219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written notice of such determination to the Administrative Agent, then the Administrative Agent will promptly so notify Borrower and each Lender.</w:t>
      </w:r>
    </w:p>
    <w:p>
      <w:pPr>
        <w:spacing w:after="0" w:line="1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Borrower, any obligation of the Lenders to make SOFR Loans, and any right of Borrower to continue SOFR Loans or to convert Base Rate Loans to SOFR Loans, shall be suspended (to the extent of the affected SOFR Loans or affected Interest Periods) until the Administrative Agent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at the instruction of the Required Lenders) revokes such notice. Upon receipt of such notice, (i) Borrower may revoke any pending request for a borrowing of, conversion to or continuation of SOFR Loans (to the extent of the affected SOFR Loans or affected Interest Periods) or, failing that,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if the Administrative Agent determines (which determination shall be conclusive and binding absent manifest error) that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cannot be determined pursuant to the definition thereof on any given day, the interest rate on Base Rate Loans shall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until the Administrative Agent revokes such determination.</w:t>
      </w:r>
    </w:p>
    <w:p>
      <w:pPr>
        <w:spacing w:after="0" w:line="137" w:lineRule="exact"/>
        <w:rPr>
          <w:sz w:val="20"/>
          <w:szCs w:val="20"/>
          <w:color w:val="auto"/>
        </w:rPr>
      </w:pPr>
    </w:p>
    <w:p>
      <w:pPr>
        <w:jc w:val="both"/>
        <w:ind w:firstLine="1094"/>
        <w:spacing w:after="0" w:line="229" w:lineRule="auto"/>
        <w:tabs>
          <w:tab w:leader="none" w:pos="165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(the “</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or to determine or charge interest based upon SOFR, the Term SOFR Reference Rate or Term SOFR, then, upon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1260"/>
          </w:cols>
          <w:pgMar w:left="320" w:top="1207" w:right="319" w:bottom="1440" w:gutter="0" w:footer="0" w:header="0"/>
        </w:sectPr>
      </w:pPr>
    </w:p>
    <w:bookmarkStart w:id="116" w:name="page117"/>
    <w:bookmarkEnd w:id="116"/>
    <w:p>
      <w:pPr>
        <w:jc w:val="both"/>
        <w:ind w:left="8"/>
        <w:spacing w:after="0" w:line="216" w:lineRule="auto"/>
        <w:rPr>
          <w:sz w:val="20"/>
          <w:szCs w:val="20"/>
          <w:color w:val="auto"/>
        </w:rPr>
      </w:pPr>
      <w:r>
        <w:rPr>
          <w:rFonts w:ascii="Times New Roman" w:cs="Times New Roman" w:eastAsia="Times New Roman" w:hAnsi="Times New Roman"/>
          <w:sz w:val="18"/>
          <w:szCs w:val="18"/>
          <w:color w:val="auto"/>
        </w:rPr>
        <w:t>notice thereof by such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to Borrower (through the Administrative Agent)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xml:space="preserve">”), (a) any obligation of the Lenders to make SOFR Loans, and any right of Borrower to continue SOFR Loans or to convert Base Rate Loans to SOFR Loans, shall be suspended, and (b) the interest rate on which Base Rate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in each case until each Affected Lender notifies the Administrative Agent and Borrower that the circumstances giving rise to such determination no longer exist. Upon receipt of an Illegality Notice,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w:t>
      </w:r>
    </w:p>
    <w:p>
      <w:pPr>
        <w:spacing w:after="0" w:line="2" w:lineRule="exact"/>
        <w:rPr>
          <w:sz w:val="20"/>
          <w:szCs w:val="20"/>
          <w:color w:val="auto"/>
        </w:rPr>
      </w:pPr>
    </w:p>
    <w:p>
      <w:pPr>
        <w:jc w:val="both"/>
        <w:ind w:left="8" w:hanging="8"/>
        <w:spacing w:after="0" w:line="221" w:lineRule="auto"/>
        <w:tabs>
          <w:tab w:leader="none" w:pos="260" w:val="left"/>
        </w:tabs>
        <w:numPr>
          <w:ilvl w:val="0"/>
          <w:numId w:val="9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u w:val="single" w:color="auto"/>
          <w:color w:val="auto"/>
        </w:rPr>
      </w:pPr>
    </w:p>
    <w:p>
      <w:pPr>
        <w:jc w:val="both"/>
        <w:ind w:left="8" w:firstLine="1094"/>
        <w:spacing w:after="0" w:line="220" w:lineRule="auto"/>
        <w:tabs>
          <w:tab w:leader="none" w:pos="16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Breakage or Non-Commencement of Interest Periods</w:t>
      </w:r>
      <w:r>
        <w:rPr>
          <w:rFonts w:ascii="Times New Roman" w:cs="Times New Roman" w:eastAsia="Times New Roman" w:hAnsi="Times New Roman"/>
          <w:sz w:val="18"/>
          <w:szCs w:val="18"/>
          <w:color w:val="auto"/>
        </w:rPr>
        <w:t>. Borrower shall compensate each Lender, upon written request by such Lender (which request shall set forth the basis for requesting such amounts),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that such Lender actually sustains: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for conversion or continuation; or (ii) if any prepayment or other principal payment of, or any conversion of, any of its SOFR Loans occurs on any day other than the last day of an Interest Period applicable to that Loan (whether voluntary, mandatory, automatic, by reason of acceleration, or otherwise).</w:t>
      </w:r>
    </w:p>
    <w:p>
      <w:pPr>
        <w:spacing w:after="0" w:line="129" w:lineRule="exact"/>
        <w:rPr>
          <w:rFonts w:ascii="Times New Roman" w:cs="Times New Roman" w:eastAsia="Times New Roman" w:hAnsi="Times New Roman"/>
          <w:sz w:val="18"/>
          <w:szCs w:val="18"/>
          <w:color w:val="auto"/>
        </w:rPr>
      </w:pPr>
    </w:p>
    <w:p>
      <w:pPr>
        <w:ind w:left="8" w:right="20" w:firstLine="1094"/>
        <w:spacing w:after="0" w:line="250" w:lineRule="auto"/>
        <w:tabs>
          <w:tab w:leader="none" w:pos="165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Booking of SOFR Loans</w:t>
      </w:r>
      <w:r>
        <w:rPr>
          <w:rFonts w:ascii="Times New Roman" w:cs="Times New Roman" w:eastAsia="Times New Roman" w:hAnsi="Times New Roman"/>
          <w:sz w:val="18"/>
          <w:szCs w:val="18"/>
          <w:color w:val="auto"/>
        </w:rPr>
        <w:t>. Any Lender may make, carry or transfer SOFR Loans at, to, or for the account of any of its branch offices or the office of an Affiliate of such Lender.</w:t>
      </w:r>
    </w:p>
    <w:p>
      <w:pPr>
        <w:spacing w:after="0" w:line="120"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1094"/>
        <w:spacing w:after="0" w:line="223" w:lineRule="auto"/>
        <w:tabs>
          <w:tab w:leader="none" w:pos="16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Administrative Agent and Borrower may amend this Agreement to replace the then-current Benchmark with a Benchmark Replacement. Any such amendment with respect to a Benchmark Transition Event will become effective at 5:00 p.m. on the [***] after Administrative Agent has posted such proposed amendment to all affected Lenders and Borrower so long as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32" w:lineRule="exact"/>
        <w:rPr>
          <w:rFonts w:ascii="Times New Roman" w:cs="Times New Roman" w:eastAsia="Times New Roman" w:hAnsi="Times New Roman"/>
          <w:sz w:val="18"/>
          <w:szCs w:val="18"/>
          <w:color w:val="auto"/>
        </w:rPr>
      </w:pPr>
    </w:p>
    <w:p>
      <w:pPr>
        <w:ind w:left="8" w:firstLine="1094"/>
        <w:spacing w:after="0" w:line="250" w:lineRule="auto"/>
        <w:tabs>
          <w:tab w:leader="none" w:pos="16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Administrative Agent will have the right, in consultation with the Borrower, to make Conforming Changes from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1268"/>
          </w:cols>
          <w:pgMar w:left="312" w:top="1207" w:right="319" w:bottom="1440" w:gutter="0" w:footer="0" w:header="0"/>
        </w:sectPr>
      </w:pPr>
    </w:p>
    <w:bookmarkStart w:id="117" w:name="page118"/>
    <w:bookmarkEnd w:id="117"/>
    <w:p>
      <w:pPr>
        <w:jc w:val="both"/>
        <w:spacing w:after="0" w:line="234" w:lineRule="auto"/>
        <w:rPr>
          <w:sz w:val="20"/>
          <w:szCs w:val="20"/>
          <w:color w:val="auto"/>
        </w:rPr>
      </w:pPr>
      <w:r>
        <w:rPr>
          <w:rFonts w:ascii="Times New Roman" w:cs="Times New Roman" w:eastAsia="Times New Roman" w:hAnsi="Times New Roman"/>
          <w:sz w:val="18"/>
          <w:szCs w:val="18"/>
          <w:color w:val="auto"/>
        </w:rPr>
        <w:t>time to time and, notwithstanding anything to the contrary herein or in any other Loan Document, any amendments implementing such Conforming Changes will become effective without any further action or consent of any other party to this Agreement or any other Loan Document other than the Administrative Agent and the Borrower.</w:t>
      </w:r>
    </w:p>
    <w:p>
      <w:pPr>
        <w:spacing w:after="0" w:line="129" w:lineRule="exact"/>
        <w:rPr>
          <w:sz w:val="20"/>
          <w:szCs w:val="20"/>
          <w:color w:val="auto"/>
        </w:rPr>
      </w:pPr>
    </w:p>
    <w:p>
      <w:pPr>
        <w:jc w:val="both"/>
        <w:ind w:firstLine="1094"/>
        <w:spacing w:after="0" w:line="220" w:lineRule="auto"/>
        <w:tabs>
          <w:tab w:leader="none" w:pos="16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Administrative Agent will promptly notify the Borrower and the Lenders, in writing, of (1) the implementation of any Benchmark Replacement and (2) the effectiveness of any Conforming Changes in connection with the use, administration, adoption or implementation of a Benchmark Replacement. The Administrative Agent will notify Borrower of (x) the removal or reinstatement of any tenor of a Benchmark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and (y) the commencement or conclusion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jc w:val="both"/>
        <w:ind w:firstLine="1094"/>
        <w:spacing w:after="0"/>
        <w:tabs>
          <w:tab w:leader="none" w:pos="16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(1) if the then-current Benchmark is a term rate (including the Term SOFR) and either (I) any tenor for such Benchmark is not displayed on a screen or other information service that publishes such rate from time to time as selected by Administrative Agent in its reasonable discretion or (II) the regulatory supervisor for the administrator of such Benchmark has provided a public statement or publication of information announcing that any tenor for such Benchmark is not or will not be representative, then Administrative Agent may modify the definition of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(or any similar or analogous definition) for any Benchmark settings at or after such time to remove such unavailable or non-representative tenor and (2) if a tenor that was removed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Administrative Agent may modify the definition of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(or any similar or analogous definition) for all Benchmark settings at or after such time to reinstate such previously removed tenor.</w:t>
      </w:r>
    </w:p>
    <w:p>
      <w:pPr>
        <w:spacing w:after="0" w:line="134" w:lineRule="exact"/>
        <w:rPr>
          <w:rFonts w:ascii="Times New Roman" w:cs="Times New Roman" w:eastAsia="Times New Roman" w:hAnsi="Times New Roman"/>
          <w:sz w:val="18"/>
          <w:szCs w:val="18"/>
          <w:color w:val="auto"/>
        </w:rPr>
      </w:pPr>
    </w:p>
    <w:p>
      <w:pPr>
        <w:jc w:val="both"/>
        <w:ind w:firstLine="1094"/>
        <w:spacing w:after="0" w:line="222" w:lineRule="auto"/>
        <w:tabs>
          <w:tab w:leader="none" w:pos="16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Borrower’s receipt of notice of the commencement of a Benchmark Unavailability Period, (1) Borrower may revoke any pending request for a borrowing of, conversion to or continuation of SOFR Loans to be made, converted or continued during any Benchmark Unavailability Period and, failing that, Borrower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3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After the Closing Date, the Borrower may, with the prior written consent of the Required Lenders, on one or more occasions request additional term loans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by delivering notice to the Administrative Agent at least [***] (or such shorter period as the Administrative Agent may agree) prior to the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260"/>
          </w:cols>
          <w:pgMar w:left="320" w:top="1207" w:right="319" w:bottom="1440" w:gutter="0" w:footer="0" w:header="0"/>
        </w:sectPr>
      </w:pPr>
    </w:p>
    <w:bookmarkStart w:id="118" w:name="page119"/>
    <w:bookmarkEnd w:id="118"/>
    <w:p>
      <w:pPr>
        <w:spacing w:after="0" w:line="250" w:lineRule="auto"/>
        <w:rPr>
          <w:sz w:val="20"/>
          <w:szCs w:val="20"/>
          <w:color w:val="auto"/>
        </w:rPr>
      </w:pPr>
      <w:r>
        <w:rPr>
          <w:rFonts w:ascii="Times New Roman" w:cs="Times New Roman" w:eastAsia="Times New Roman" w:hAnsi="Times New Roman"/>
          <w:sz w:val="18"/>
          <w:szCs w:val="18"/>
          <w:color w:val="auto"/>
        </w:rPr>
        <w:t>Credit Date (each, an “</w:t>
      </w:r>
      <w:r>
        <w:rPr>
          <w:rFonts w:ascii="Times New Roman" w:cs="Times New Roman" w:eastAsia="Times New Roman" w:hAnsi="Times New Roman"/>
          <w:sz w:val="18"/>
          <w:szCs w:val="18"/>
          <w:u w:val="single" w:color="auto"/>
          <w:color w:val="auto"/>
        </w:rPr>
        <w:t>Incremental Request</w:t>
      </w:r>
      <w:r>
        <w:rPr>
          <w:rFonts w:ascii="Times New Roman" w:cs="Times New Roman" w:eastAsia="Times New Roman" w:hAnsi="Times New Roman"/>
          <w:sz w:val="18"/>
          <w:szCs w:val="18"/>
          <w:color w:val="auto"/>
        </w:rPr>
        <w:t>”); any Lender that does not respond to an Incremental Request on or prior to the date specified therein shall be deemed to have declined such Incremental Request; provided, however, that:</w:t>
      </w:r>
    </w:p>
    <w:p>
      <w:pPr>
        <w:spacing w:after="0" w:line="120" w:lineRule="exact"/>
        <w:rPr>
          <w:sz w:val="20"/>
          <w:szCs w:val="20"/>
          <w:color w:val="auto"/>
        </w:rPr>
      </w:pPr>
    </w:p>
    <w:p>
      <w:pPr>
        <w:ind w:firstLine="1094"/>
        <w:spacing w:after="0" w:line="250" w:lineRule="auto"/>
        <w:tabs>
          <w:tab w:leader="none" w:pos="16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Incremental Term Loans shall not exceed $500,000,000 (or, to the extent applicable, such lesser aggregate amount as may be set forth in the applicable Incremental Amendment(s));</w:t>
      </w:r>
    </w:p>
    <w:p>
      <w:pPr>
        <w:spacing w:after="0" w:line="11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making such Incremental Term Loans have received investment committee approval (in such investment committee’s sole discretion) with respect thereto, and no Lender shall be obligated to provide any Incremental Term Loan Commitments or fund any Incremental Term Loan without its consent.</w:t>
      </w:r>
    </w:p>
    <w:p>
      <w:pPr>
        <w:spacing w:after="0" w:line="129"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proposed Incremental Term Loan Commitments shall first be offered to all existing Lenders on a ratable basis in accordance with their respective Pro Rata Share, and to the extent any existing Lender declines to participate in such Incremental Term Loan Commitments, the declining Lender’s Pro Rata Share shall be offered to the participating existing Lenders on 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all existing Lenders decline to participate or decline to provide 100% of the requested Incremental Term Loan Commitments, the Borrower may offer such Incremental Term Loan Commitments to additional lenders approved by the Borrower and the Required Lenders and (ii) any Incremental Term Loan Commitments offered to such additional lenders shall not be on terms more favorable to such additional lenders than those offered to the existing Lenders, taken as a whole;</w:t>
      </w:r>
    </w:p>
    <w:p>
      <w:pPr>
        <w:spacing w:after="0" w:line="128"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 Commitments may not be provided by any Person that is not an Eligible Assignee at the time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thereof;</w:t>
      </w:r>
    </w:p>
    <w:p>
      <w:pPr>
        <w:spacing w:after="0" w:line="140"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conditions precedent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 shall have been satisfied (or waived) as of the date such Incremental Term Loans are incurred (it being understood and agreed that the incurrence of such Incremental Term Loans shall not be subject to any other conditions precedent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 except to the extent agreed to by the Borrower and the Lenders providing such Incremental Term Loans);</w:t>
      </w:r>
    </w:p>
    <w:p>
      <w:pPr>
        <w:spacing w:after="0" w:line="128" w:lineRule="exact"/>
        <w:rPr>
          <w:rFonts w:ascii="Times New Roman" w:cs="Times New Roman" w:eastAsia="Times New Roman" w:hAnsi="Times New Roman"/>
          <w:sz w:val="18"/>
          <w:szCs w:val="18"/>
          <w:color w:val="auto"/>
        </w:rPr>
      </w:pPr>
    </w:p>
    <w:p>
      <w:pPr>
        <w:ind w:right="20" w:firstLine="1094"/>
        <w:spacing w:after="0" w:line="250" w:lineRule="auto"/>
        <w:tabs>
          <w:tab w:leader="none" w:pos="165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with respect to any such Incremental Term Loans (including any fees payable in connection therewith) shall be set forth in the applicable Incremental Amendment with respect thereto; provided, however, that:</w:t>
      </w:r>
    </w:p>
    <w:p>
      <w:pPr>
        <w:spacing w:after="0" w:line="116" w:lineRule="exact"/>
        <w:rPr>
          <w:rFonts w:ascii="Times New Roman" w:cs="Times New Roman" w:eastAsia="Times New Roman" w:hAnsi="Times New Roman"/>
          <w:sz w:val="18"/>
          <w:szCs w:val="18"/>
          <w:color w:val="auto"/>
        </w:rPr>
      </w:pPr>
    </w:p>
    <w:p>
      <w:pPr>
        <w:ind w:left="2180" w:hanging="535"/>
        <w:spacing w:after="0"/>
        <w:tabs>
          <w:tab w:leader="none" w:pos="21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such Incremental Term Loans shall be no earlier than the Latest Maturity Date of the then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Term Loans;</w:t>
      </w:r>
    </w:p>
    <w:p>
      <w:pPr>
        <w:spacing w:after="0" w:line="140" w:lineRule="exact"/>
        <w:rPr>
          <w:rFonts w:ascii="Times New Roman" w:cs="Times New Roman" w:eastAsia="Times New Roman" w:hAnsi="Times New Roman"/>
          <w:sz w:val="18"/>
          <w:szCs w:val="18"/>
          <w:color w:val="auto"/>
        </w:rPr>
      </w:pPr>
    </w:p>
    <w:p>
      <w:pPr>
        <w:jc w:val="both"/>
        <w:ind w:right="20" w:firstLine="1645"/>
        <w:spacing w:after="0" w:line="234" w:lineRule="auto"/>
        <w:tabs>
          <w:tab w:leader="none" w:pos="21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such Incremental Term Loans shall be no shorter than the remaining Weighted Average Life to Maturity of the then outstanding Term Loans (determined without giving effect to any prepayments that reduce amortization or that would otherwise modify the Weighted Average Life to Maturity);</w:t>
      </w:r>
    </w:p>
    <w:p>
      <w:pPr>
        <w:spacing w:after="0" w:line="129" w:lineRule="exact"/>
        <w:rPr>
          <w:rFonts w:ascii="Times New Roman" w:cs="Times New Roman" w:eastAsia="Times New Roman" w:hAnsi="Times New Roman"/>
          <w:sz w:val="18"/>
          <w:szCs w:val="18"/>
          <w:color w:val="auto"/>
        </w:rPr>
      </w:pPr>
    </w:p>
    <w:p>
      <w:pPr>
        <w:ind w:firstLine="1645"/>
        <w:spacing w:after="0" w:line="250" w:lineRule="auto"/>
        <w:tabs>
          <w:tab w:leader="none" w:pos="220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Loans may participate on a pro rata basis or a less than pro rata basis (but not greater than a pro rata basis) in any voluntary or mandatory repayments or prepayments of the Term Loans;</w:t>
      </w:r>
    </w:p>
    <w:p>
      <w:pPr>
        <w:spacing w:after="0" w:line="115" w:lineRule="exact"/>
        <w:rPr>
          <w:rFonts w:ascii="Times New Roman" w:cs="Times New Roman" w:eastAsia="Times New Roman" w:hAnsi="Times New Roman"/>
          <w:sz w:val="18"/>
          <w:szCs w:val="18"/>
          <w:color w:val="auto"/>
        </w:rPr>
      </w:pPr>
    </w:p>
    <w:p>
      <w:pPr>
        <w:ind w:firstLine="1645"/>
        <w:spacing w:after="0" w:line="255" w:lineRule="auto"/>
        <w:tabs>
          <w:tab w:leader="none" w:pos="21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Incremental Term Loans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with respect to security with the Obligations, (B) may not be secured by any assets other than the Collateral and (C) may not be guaranteed by any Person that is not a Loan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ectPr>
          <w:pgSz w:w="11900" w:h="16838" w:orient="portrait"/>
          <w:cols w:equalWidth="0" w:num="1">
            <w:col w:w="11260"/>
          </w:cols>
          <w:pgMar w:left="320" w:top="1207" w:right="319" w:bottom="1440" w:gutter="0" w:footer="0" w:header="0"/>
        </w:sectPr>
      </w:pPr>
    </w:p>
    <w:bookmarkStart w:id="119" w:name="page120"/>
    <w:bookmarkEnd w:id="119"/>
    <w:p>
      <w:pPr>
        <w:jc w:val="both"/>
        <w:ind w:firstLine="1094"/>
        <w:spacing w:after="0"/>
        <w:tabs>
          <w:tab w:leader="none" w:pos="16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except for any terms and conditions with respect to any Incremental Term Loans that are applicable only after the Latest Maturity Date of the then outstanding Term Loans), the terms and conditions with respect to any Incremental Term Loans shall not be (A) materially more favorable to the Lenders of such Incremental Term Loans than the existing terms and conditions contained in the Loan Documents that apply to the Lenders of the then outstanding Term Loans (unless such existing terms and conditions contained in the Loan Documents are amended so as to conform to the materially more favorable terms and conditions that apply to the Lenders of the Incremental Term Loans) or (B) materially adverse to the Lenders of the then outstanding Term Loans (in their capacity as such Lenders); and</w:t>
      </w:r>
    </w:p>
    <w:p>
      <w:pPr>
        <w:spacing w:after="0" w:line="227"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such Incremental Term Loans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shall become Term Loan Commitments hereunder pursuant to an amendment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to this Agreement and, as appropriate, the other Loan Documents, executed by the Borrower, each existing Lender agreeing to provide such Term Loan Commitment, if any, each additional Lender agreeing to provide such Commitment,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4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Borrower may not incur any Incremental Term Loans the proceeds of which would be used, in whole or in part, to fund any portion of the consideration of any Permitted Acquisition unless the Delayed Draw Term Loan Commitments have (or concurrently with such borrowing of Incremental Term Loans, will have) terminated in full.</w:t>
      </w:r>
    </w:p>
    <w:p>
      <w:pPr>
        <w:spacing w:after="0" w:line="1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III</w:t>
      </w:r>
    </w:p>
    <w:p>
      <w:pPr>
        <w:spacing w:after="0" w:line="16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6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effectiveness of this Agreement, and the obligation of each applicable Lender to make a Credit Extension of Initial Term Loans from such Lender’s Initial Term Loan Commitments (if any) on the Initial Funding Date, is subject to the satisfaction, or waiver in accordance with Section 10.5, of the following conditions on or before the Closing Date:</w:t>
      </w:r>
    </w:p>
    <w:p>
      <w:pPr>
        <w:spacing w:after="0" w:line="129" w:lineRule="exact"/>
        <w:rPr>
          <w:sz w:val="20"/>
          <w:szCs w:val="20"/>
          <w:color w:val="auto"/>
        </w:rPr>
      </w:pPr>
    </w:p>
    <w:p>
      <w:pPr>
        <w:ind w:right="20" w:firstLine="1094"/>
        <w:spacing w:after="0" w:line="250" w:lineRule="auto"/>
        <w:tabs>
          <w:tab w:leader="none" w:pos="16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Administrative Agent shall have received copies of each Loan Document duly executed and delivered by each applicable Loan Party for each Lender.</w:t>
      </w:r>
    </w:p>
    <w:p>
      <w:pPr>
        <w:spacing w:after="0" w:line="119" w:lineRule="exact"/>
        <w:rPr>
          <w:rFonts w:ascii="Times New Roman" w:cs="Times New Roman" w:eastAsia="Times New Roman" w:hAnsi="Times New Roman"/>
          <w:sz w:val="18"/>
          <w:szCs w:val="18"/>
          <w:color w:val="auto"/>
        </w:rPr>
      </w:pPr>
    </w:p>
    <w:p>
      <w:pPr>
        <w:jc w:val="both"/>
        <w:ind w:firstLine="1094"/>
        <w:spacing w:after="0"/>
        <w:tabs>
          <w:tab w:leader="none" w:pos="16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and (iv) a good standing certificate (to the extent such concept exists) from the applicable Governmental Authority of such Loan Party’s jurisdiction of incorporation, organization or formation, each dated a recent date prior to the Closing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1260"/>
          </w:cols>
          <w:pgMar w:left="320" w:top="1207" w:right="319" w:bottom="1440" w:gutter="0" w:footer="0" w:header="0"/>
        </w:sectPr>
      </w:pPr>
    </w:p>
    <w:bookmarkStart w:id="120" w:name="page121"/>
    <w:bookmarkEnd w:id="120"/>
    <w:p>
      <w:pPr>
        <w:ind w:left="1640" w:hanging="546"/>
        <w:spacing w:after="0"/>
        <w:tabs>
          <w:tab w:leader="none" w:pos="1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 xml:space="preserve">. The capital structure of Borrower’s Subsidiaries shall be as set forth on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and Consents</w:t>
      </w:r>
      <w:r>
        <w:rPr>
          <w:rFonts w:ascii="Times New Roman" w:cs="Times New Roman" w:eastAsia="Times New Roman" w:hAnsi="Times New Roman"/>
          <w:sz w:val="18"/>
          <w:szCs w:val="18"/>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w:t>
      </w:r>
    </w:p>
    <w:p>
      <w:pPr>
        <w:spacing w:after="0" w:line="129" w:lineRule="exact"/>
        <w:rPr>
          <w:rFonts w:ascii="Times New Roman" w:cs="Times New Roman" w:eastAsia="Times New Roman" w:hAnsi="Times New Roman"/>
          <w:sz w:val="18"/>
          <w:szCs w:val="18"/>
          <w:color w:val="auto"/>
        </w:rPr>
      </w:pPr>
    </w:p>
    <w:p>
      <w:pPr>
        <w:ind w:firstLine="1094"/>
        <w:spacing w:after="0" w:line="250" w:lineRule="auto"/>
        <w:tabs>
          <w:tab w:leader="none" w:pos="16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Property Collateral</w:t>
      </w:r>
      <w:r>
        <w:rPr>
          <w:rFonts w:ascii="Times New Roman" w:cs="Times New Roman" w:eastAsia="Times New Roman" w:hAnsi="Times New Roman"/>
          <w:sz w:val="18"/>
          <w:szCs w:val="18"/>
          <w:color w:val="auto"/>
        </w:rPr>
        <w:t>. In order to create in favor of Administrative Agent, for the benefit of Secured Parties, a valid, perfected First Priority security interest in the personal property Collateral, Administrative Agent shall have received:</w:t>
      </w:r>
    </w:p>
    <w:p>
      <w:pPr>
        <w:spacing w:after="0" w:line="119" w:lineRule="exact"/>
        <w:rPr>
          <w:rFonts w:ascii="Times New Roman" w:cs="Times New Roman" w:eastAsia="Times New Roman" w:hAnsi="Times New Roman"/>
          <w:sz w:val="18"/>
          <w:szCs w:val="18"/>
          <w:color w:val="auto"/>
        </w:rPr>
      </w:pPr>
    </w:p>
    <w:p>
      <w:pPr>
        <w:jc w:val="both"/>
        <w:ind w:firstLine="1645"/>
        <w:spacing w:after="0"/>
        <w:tabs>
          <w:tab w:leader="none" w:pos="219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or securities accounts as provided therein), together with appropriate financing statements on Form UCC-1 in form for filing in such office or offices as may be necessary or, in the opinion of Administrative Agent, desirable to perfect the security interests purported to be created by each Pledge and Security Agreement and each other Collateral Document; and</w:t>
      </w:r>
    </w:p>
    <w:p>
      <w:pPr>
        <w:spacing w:after="0" w:line="227" w:lineRule="exact"/>
        <w:rPr>
          <w:rFonts w:ascii="Times New Roman" w:cs="Times New Roman" w:eastAsia="Times New Roman" w:hAnsi="Times New Roman"/>
          <w:sz w:val="18"/>
          <w:szCs w:val="18"/>
          <w:color w:val="auto"/>
        </w:rPr>
      </w:pPr>
    </w:p>
    <w:p>
      <w:pPr>
        <w:ind w:firstLine="1645"/>
        <w:spacing w:after="0" w:line="250" w:lineRule="auto"/>
        <w:tabs>
          <w:tab w:leader="none" w:pos="219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dated the Closing Date and executed by an Authorized Officer of each Loan Party, together with all attachments contemplated thereby.</w:t>
      </w:r>
    </w:p>
    <w:p>
      <w:pPr>
        <w:spacing w:after="0" w:line="11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Lenders shall have received from Borrower the Historical Financial Statements.</w:t>
      </w:r>
    </w:p>
    <w:p>
      <w:pPr>
        <w:spacing w:after="0" w:line="160" w:lineRule="exact"/>
        <w:rPr>
          <w:rFonts w:ascii="Times New Roman" w:cs="Times New Roman" w:eastAsia="Times New Roman" w:hAnsi="Times New Roman"/>
          <w:sz w:val="18"/>
          <w:szCs w:val="18"/>
          <w:color w:val="auto"/>
        </w:rPr>
      </w:pPr>
    </w:p>
    <w:p>
      <w:pPr>
        <w:jc w:val="both"/>
        <w:ind w:right="20" w:firstLine="1094"/>
        <w:spacing w:after="0" w:line="234" w:lineRule="auto"/>
        <w:tabs>
          <w:tab w:leader="none" w:pos="16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xml:space="preserve">. The Administrative Agent shall have received a certificate from Borrower’s insurance broker or other evidence reasonably satisfactory to it that all insurance required to be maintained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is in full force and effect, in form and substance reasonably satisfactory to Administrative Agent.</w:t>
      </w:r>
    </w:p>
    <w:p>
      <w:pPr>
        <w:spacing w:after="0" w:line="12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Loan Parties</w:t>
      </w:r>
      <w:r>
        <w:rPr>
          <w:rFonts w:ascii="Times New Roman" w:cs="Times New Roman" w:eastAsia="Times New Roman" w:hAnsi="Times New Roman"/>
          <w:sz w:val="18"/>
          <w:szCs w:val="18"/>
          <w:color w:val="auto"/>
        </w:rPr>
        <w:t>. Lenders and their respective counsel shall have received an executed copy of the favorable written opinions of Willkie Farr &amp; Gallagher LLP, counsel for Loan Parties, as to such other matters as Administrative Agent may reasonably request, dated the Closing Date and otherwise in form and substance reasonably satisfactory to Administrative Agent.</w:t>
      </w:r>
    </w:p>
    <w:p>
      <w:pPr>
        <w:spacing w:after="0" w:line="126"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Borrower shall have paid to Administrative Agent, the fees and expenses then due and payable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Initial Funding Date, Borrower and its Subsidiaries are and will be Solvent.</w:t>
      </w:r>
    </w:p>
    <w:p>
      <w:pPr>
        <w:spacing w:after="0" w:line="128" w:lineRule="exact"/>
        <w:rPr>
          <w:rFonts w:ascii="Times New Roman" w:cs="Times New Roman" w:eastAsia="Times New Roman" w:hAnsi="Times New Roman"/>
          <w:sz w:val="18"/>
          <w:szCs w:val="18"/>
          <w:color w:val="auto"/>
        </w:rPr>
      </w:pPr>
    </w:p>
    <w:p>
      <w:pPr>
        <w:ind w:firstLine="1094"/>
        <w:spacing w:after="0" w:line="250" w:lineRule="auto"/>
        <w:tabs>
          <w:tab w:leader="none" w:pos="16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Borrower shall have delivered to Administrative Agent a duly executed Closing Date Certificate, together with all attachments thereto.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1260"/>
          </w:cols>
          <w:pgMar w:left="320" w:top="1207" w:right="319" w:bottom="1440" w:gutter="0" w:footer="0" w:header="0"/>
        </w:sectPr>
      </w:pPr>
    </w:p>
    <w:bookmarkStart w:id="121" w:name="page122"/>
    <w:bookmarkEnd w:id="121"/>
    <w:p>
      <w:pPr>
        <w:jc w:val="both"/>
        <w:ind w:left="-1094" w:firstLine="1094"/>
        <w:spacing w:after="0" w:line="234" w:lineRule="auto"/>
        <w:tabs>
          <w:tab w:leader="none" w:pos="5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shall not exist any action, suit, investigation, litigation or proceeding or other legal or regulatory developments, pending or threatened in any court or before any arbitrator or Governmental Authority that singly or in the aggregate materially impairs the transactions contemplated by the Loan Documents or that would reasonably be expected to have a Material Adverse Effect.</w:t>
      </w:r>
    </w:p>
    <w:p>
      <w:pPr>
        <w:spacing w:after="0" w:line="129" w:lineRule="exact"/>
        <w:rPr>
          <w:rFonts w:ascii="Times New Roman" w:cs="Times New Roman" w:eastAsia="Times New Roman" w:hAnsi="Times New Roman"/>
          <w:sz w:val="18"/>
          <w:szCs w:val="18"/>
          <w:color w:val="auto"/>
        </w:rPr>
      </w:pPr>
    </w:p>
    <w:p>
      <w:pPr>
        <w:ind w:left="546" w:hanging="546"/>
        <w:spacing w:after="0"/>
        <w:tabs>
          <w:tab w:leader="none" w:pos="5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094" w:firstLine="1094"/>
        <w:spacing w:after="0" w:line="250" w:lineRule="auto"/>
        <w:tabs>
          <w:tab w:leader="none" w:pos="5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Effect/Material Regulatory Liability</w:t>
      </w:r>
      <w:r>
        <w:rPr>
          <w:rFonts w:ascii="Times New Roman" w:cs="Times New Roman" w:eastAsia="Times New Roman" w:hAnsi="Times New Roman"/>
          <w:sz w:val="18"/>
          <w:szCs w:val="18"/>
          <w:color w:val="auto"/>
        </w:rPr>
        <w:t>. Since [***], no event, circumstance or change shall have occurred that has caused or evidences, either in any case or in the aggregate, a Material Adverse Effect or a Material Regulatory Liability.</w:t>
      </w:r>
    </w:p>
    <w:p>
      <w:pPr>
        <w:spacing w:after="0" w:line="119" w:lineRule="exact"/>
        <w:rPr>
          <w:rFonts w:ascii="Times New Roman" w:cs="Times New Roman" w:eastAsia="Times New Roman" w:hAnsi="Times New Roman"/>
          <w:sz w:val="18"/>
          <w:szCs w:val="18"/>
          <w:color w:val="auto"/>
        </w:rPr>
      </w:pPr>
    </w:p>
    <w:p>
      <w:pPr>
        <w:ind w:left="546" w:hanging="546"/>
        <w:spacing w:after="0"/>
        <w:tabs>
          <w:tab w:leader="none" w:pos="5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Each of the Fee Letters shall have been executed and delivered by each of the parties thereto.</w:t>
      </w:r>
    </w:p>
    <w:p>
      <w:pPr>
        <w:spacing w:after="0" w:line="160" w:lineRule="exact"/>
        <w:rPr>
          <w:rFonts w:ascii="Times New Roman" w:cs="Times New Roman" w:eastAsia="Times New Roman" w:hAnsi="Times New Roman"/>
          <w:sz w:val="18"/>
          <w:szCs w:val="18"/>
          <w:color w:val="auto"/>
        </w:rPr>
      </w:pPr>
    </w:p>
    <w:p>
      <w:pPr>
        <w:jc w:val="both"/>
        <w:ind w:left="-1094" w:right="20" w:firstLine="1094"/>
        <w:spacing w:after="0" w:line="234" w:lineRule="auto"/>
        <w:tabs>
          <w:tab w:leader="none" w:pos="5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Regulations</w:t>
      </w:r>
      <w:r>
        <w:rPr>
          <w:rFonts w:ascii="Times New Roman" w:cs="Times New Roman" w:eastAsia="Times New Roman" w:hAnsi="Times New Roman"/>
          <w:sz w:val="18"/>
          <w:szCs w:val="18"/>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all such documentation and other information shall be in form and substance reasonably satisfactory to Administrative Agent.</w:t>
      </w:r>
    </w:p>
    <w:p>
      <w:pPr>
        <w:spacing w:after="0" w:line="129" w:lineRule="exact"/>
        <w:rPr>
          <w:rFonts w:ascii="Times New Roman" w:cs="Times New Roman" w:eastAsia="Times New Roman" w:hAnsi="Times New Roman"/>
          <w:sz w:val="18"/>
          <w:szCs w:val="18"/>
          <w:color w:val="auto"/>
        </w:rPr>
      </w:pPr>
    </w:p>
    <w:p>
      <w:pPr>
        <w:ind w:left="546" w:hanging="546"/>
        <w:spacing w:after="0"/>
        <w:tabs>
          <w:tab w:leader="none" w:pos="5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1094" w:firstLine="1094"/>
        <w:spacing w:after="0" w:line="220" w:lineRule="auto"/>
        <w:tabs>
          <w:tab w:leader="none" w:pos="5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in the text thereof, which representations and warranties shall be true and correct in all respects subject to such qualification) on and as of such earlier date.</w:t>
      </w:r>
    </w:p>
    <w:p>
      <w:pPr>
        <w:spacing w:after="0" w:line="129" w:lineRule="exact"/>
        <w:rPr>
          <w:rFonts w:ascii="Times New Roman" w:cs="Times New Roman" w:eastAsia="Times New Roman" w:hAnsi="Times New Roman"/>
          <w:sz w:val="18"/>
          <w:szCs w:val="18"/>
          <w:color w:val="auto"/>
        </w:rPr>
      </w:pPr>
    </w:p>
    <w:p>
      <w:pPr>
        <w:ind w:left="-1094" w:right="20" w:firstLine="1094"/>
        <w:spacing w:after="0" w:line="250" w:lineRule="auto"/>
        <w:tabs>
          <w:tab w:leader="none" w:pos="5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event shall have occurred and be continuing or would result from the consummation of the transactions contemplated herein that would constitute an Event of Default or a Default.</w:t>
      </w:r>
    </w:p>
    <w:p>
      <w:pPr>
        <w:spacing w:after="0" w:line="119" w:lineRule="exact"/>
        <w:rPr>
          <w:rFonts w:ascii="Times New Roman" w:cs="Times New Roman" w:eastAsia="Times New Roman" w:hAnsi="Times New Roman"/>
          <w:sz w:val="18"/>
          <w:szCs w:val="18"/>
          <w:color w:val="auto"/>
        </w:rPr>
      </w:pPr>
    </w:p>
    <w:p>
      <w:pPr>
        <w:jc w:val="both"/>
        <w:ind w:left="-1094" w:firstLine="1094"/>
        <w:spacing w:after="0" w:line="234" w:lineRule="auto"/>
        <w:tabs>
          <w:tab w:leader="none" w:pos="5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VCOC Letter</w:t>
      </w:r>
      <w:r>
        <w:rPr>
          <w:rFonts w:ascii="Times New Roman" w:cs="Times New Roman" w:eastAsia="Times New Roman" w:hAnsi="Times New Roman"/>
          <w:sz w:val="18"/>
          <w:szCs w:val="18"/>
          <w:color w:val="auto"/>
        </w:rPr>
        <w:t xml:space="preserve">. The Borrower shall have delivered a duly executed VCOC information letter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(or such other form as is reasonably acceptable to the Borrower and the applicable Lender) to each Lender that relies upon the exemption for “venture capital operating companies” under U.S. Department of Labor regulations and that has requested such a letter prior to the Closing Date.</w:t>
      </w:r>
    </w:p>
    <w:p>
      <w:pPr>
        <w:spacing w:after="0" w:line="129" w:lineRule="exact"/>
        <w:rPr>
          <w:rFonts w:ascii="Times New Roman" w:cs="Times New Roman" w:eastAsia="Times New Roman" w:hAnsi="Times New Roman"/>
          <w:sz w:val="18"/>
          <w:szCs w:val="18"/>
          <w:color w:val="auto"/>
        </w:rPr>
      </w:pPr>
    </w:p>
    <w:p>
      <w:pPr>
        <w:jc w:val="both"/>
        <w:ind w:left="-1094" w:firstLine="1094"/>
        <w:spacing w:after="0" w:line="234" w:lineRule="auto"/>
        <w:tabs>
          <w:tab w:leader="none" w:pos="5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4446" w:hanging="115"/>
        <w:spacing w:after="0"/>
        <w:tabs>
          <w:tab w:leader="none" w:pos="44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ectPr>
          <w:pgSz w:w="11900" w:h="16838" w:orient="portrait"/>
          <w:cols w:equalWidth="0" w:num="1">
            <w:col w:w="10166"/>
          </w:cols>
          <w:pgMar w:left="1414" w:top="1207" w:right="319" w:bottom="1440" w:gutter="0" w:footer="0" w:header="0"/>
        </w:sectPr>
      </w:pPr>
    </w:p>
    <w:bookmarkStart w:id="122" w:name="page123"/>
    <w:bookmarkEnd w:id="122"/>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Conditions to Each Delayed Draw Term Loan</w:t>
      </w:r>
      <w:r>
        <w:rPr>
          <w:rFonts w:ascii="Times New Roman" w:cs="Times New Roman" w:eastAsia="Times New Roman" w:hAnsi="Times New Roman"/>
          <w:sz w:val="18"/>
          <w:szCs w:val="18"/>
          <w:color w:val="auto"/>
        </w:rPr>
        <w:t xml:space="preserve">. The obligation of each applicable Lender to make a Credit Extension of Delayed Draw Term Loans from such Lender’s Delayed Draw Commitments (if any) on each applicable Credit Date, is subject to the satisfaction, or waiver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of the following conditions on or before such Credit Date:</w:t>
      </w:r>
    </w:p>
    <w:p>
      <w:pPr>
        <w:spacing w:after="0" w:line="129" w:lineRule="exact"/>
        <w:rPr>
          <w:sz w:val="20"/>
          <w:szCs w:val="20"/>
          <w:color w:val="auto"/>
        </w:rPr>
      </w:pPr>
    </w:p>
    <w:p>
      <w:pPr>
        <w:ind w:left="1640" w:hanging="546"/>
        <w:spacing w:after="0"/>
        <w:tabs>
          <w:tab w:leader="none" w:pos="1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Delayed Draw Term Loan shall be made solely to finance a Permitted Acquisition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Subsidiaries shall, as of the applicable Test Date, on a pro forma basis after giving effect to such borrowing of Delayed Draw Term Loans, the application of the proceeds there of such Credit Date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the consummation of such Permitted Acquisition, be in compliance with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right="20" w:firstLine="1094"/>
        <w:spacing w:after="0" w:line="250" w:lineRule="auto"/>
        <w:tabs>
          <w:tab w:leader="none" w:pos="16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applicable Credit Date, no event shall have occurred and be continuing or would result from the making of the applicable Credit Extension or from the use of proceeds thereof that would constitute a Material Adverse Effect.</w:t>
      </w:r>
    </w:p>
    <w:p>
      <w:pPr>
        <w:spacing w:after="0" w:line="12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Conditions to Each Loan</w:t>
      </w:r>
      <w:r>
        <w:rPr>
          <w:rFonts w:ascii="Times New Roman" w:cs="Times New Roman" w:eastAsia="Times New Roman" w:hAnsi="Times New Roman"/>
          <w:sz w:val="18"/>
          <w:szCs w:val="18"/>
          <w:color w:val="auto"/>
        </w:rPr>
        <w:t>. The obligation of each Lender to make the Initial Term Loan on the Initial Funding Date or any other Loan on any date following the Closing Date is subject to the satisfaction, or waiver in accordance with Section 10.5, of the following conditions precedent:</w:t>
      </w:r>
    </w:p>
    <w:p>
      <w:pPr>
        <w:spacing w:after="0" w:line="318" w:lineRule="exact"/>
        <w:rPr>
          <w:sz w:val="20"/>
          <w:szCs w:val="20"/>
          <w:color w:val="auto"/>
        </w:rPr>
      </w:pPr>
    </w:p>
    <w:p>
      <w:pPr>
        <w:ind w:left="1640" w:hanging="546"/>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Administrative Agent shall have received a fully executed and delivered Funding Notice as and when required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firstLine="1094"/>
        <w:spacing w:after="0" w:line="220" w:lineRule="auto"/>
        <w:tabs>
          <w:tab w:leader="none" w:pos="16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in the text thereof, which representations and warranties shall be true and correct in all respects subject to such qualification) on and as of such earlier date;</w:t>
      </w:r>
    </w:p>
    <w:p>
      <w:pPr>
        <w:spacing w:after="0" w:line="129" w:lineRule="exact"/>
        <w:rPr>
          <w:rFonts w:ascii="Times New Roman" w:cs="Times New Roman" w:eastAsia="Times New Roman" w:hAnsi="Times New Roman"/>
          <w:sz w:val="18"/>
          <w:szCs w:val="18"/>
          <w:color w:val="auto"/>
        </w:rPr>
      </w:pPr>
    </w:p>
    <w:p>
      <w:pPr>
        <w:ind w:right="20" w:firstLine="1094"/>
        <w:spacing w:after="0" w:line="250" w:lineRule="auto"/>
        <w:tabs>
          <w:tab w:leader="none" w:pos="16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As of the applicable Credit Date, no event shall have occurred and be continuing or would result from the consummation of the applicable Credit Extension that would constitute an Event of Default or a Default;</w:t>
      </w:r>
    </w:p>
    <w:p>
      <w:pPr>
        <w:spacing w:after="0" w:line="119" w:lineRule="exact"/>
        <w:rPr>
          <w:rFonts w:ascii="Times New Roman" w:cs="Times New Roman" w:eastAsia="Times New Roman" w:hAnsi="Times New Roman"/>
          <w:sz w:val="18"/>
          <w:szCs w:val="18"/>
          <w:color w:val="auto"/>
        </w:rPr>
      </w:pPr>
    </w:p>
    <w:p>
      <w:pPr>
        <w:ind w:firstLine="1094"/>
        <w:spacing w:after="0" w:line="250" w:lineRule="auto"/>
        <w:tabs>
          <w:tab w:leader="none" w:pos="16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Approval</w:t>
      </w:r>
      <w:r>
        <w:rPr>
          <w:rFonts w:ascii="Times New Roman" w:cs="Times New Roman" w:eastAsia="Times New Roman" w:hAnsi="Times New Roman"/>
          <w:sz w:val="18"/>
          <w:szCs w:val="18"/>
          <w:color w:val="auto"/>
        </w:rPr>
        <w:t>. With respect to any Incremental Term Loans, the funding of such Term Loan shall have been approved by the Required Lenders in their respective sole and absolute discretion.</w:t>
      </w:r>
    </w:p>
    <w:p>
      <w:pPr>
        <w:spacing w:after="0" w:line="119" w:lineRule="exact"/>
        <w:rPr>
          <w:rFonts w:ascii="Times New Roman" w:cs="Times New Roman" w:eastAsia="Times New Roman" w:hAnsi="Times New Roman"/>
          <w:sz w:val="18"/>
          <w:szCs w:val="18"/>
          <w:color w:val="auto"/>
        </w:rPr>
      </w:pPr>
    </w:p>
    <w:p>
      <w:pPr>
        <w:ind w:right="20" w:firstLine="1094"/>
        <w:spacing w:after="0" w:line="250" w:lineRule="auto"/>
        <w:tabs>
          <w:tab w:leader="none" w:pos="16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On each Credit Date, the Loan Parties shall have paid all fees, costs and expenses then payable by the Loan Parties pursuant to this Agreement and the other Loan Documents, including, without limitation,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ectPr>
          <w:pgSz w:w="11900" w:h="16838" w:orient="portrait"/>
          <w:cols w:equalWidth="0" w:num="1">
            <w:col w:w="11260"/>
          </w:cols>
          <w:pgMar w:left="320" w:top="1207" w:right="319" w:bottom="1440" w:gutter="0" w:footer="0" w:header="0"/>
        </w:sectPr>
      </w:pPr>
    </w:p>
    <w:bookmarkStart w:id="123" w:name="page124"/>
    <w:bookmarkEnd w:id="123"/>
    <w:p>
      <w:pPr>
        <w:ind w:left="5088"/>
        <w:spacing w:after="0"/>
        <w:rPr>
          <w:sz w:val="20"/>
          <w:szCs w:val="20"/>
          <w:color w:val="auto"/>
        </w:rPr>
      </w:pPr>
      <w:r>
        <w:rPr>
          <w:rFonts w:ascii="Times New Roman" w:cs="Times New Roman" w:eastAsia="Times New Roman" w:hAnsi="Times New Roman"/>
          <w:sz w:val="18"/>
          <w:szCs w:val="18"/>
          <w:color w:val="auto"/>
        </w:rPr>
        <w:t>Article IV</w:t>
      </w:r>
    </w:p>
    <w:p>
      <w:pPr>
        <w:spacing w:after="0" w:line="16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183" w:lineRule="exact"/>
        <w:rPr>
          <w:sz w:val="20"/>
          <w:szCs w:val="20"/>
          <w:color w:val="auto"/>
        </w:rPr>
      </w:pPr>
    </w:p>
    <w:p>
      <w:pPr>
        <w:jc w:val="both"/>
        <w:ind w:left="8" w:firstLine="1102"/>
        <w:spacing w:after="0" w:line="271" w:lineRule="auto"/>
        <w:rPr>
          <w:sz w:val="20"/>
          <w:szCs w:val="20"/>
          <w:color w:val="auto"/>
        </w:rPr>
      </w:pPr>
      <w:r>
        <w:rPr>
          <w:rFonts w:ascii="Times New Roman" w:cs="Times New Roman" w:eastAsia="Times New Roman" w:hAnsi="Times New Roman"/>
          <w:sz w:val="18"/>
          <w:szCs w:val="18"/>
          <w:color w:val="auto"/>
        </w:rPr>
        <w:t>In order to induce the Administrative Agent and Lenders to enter into this Agreement and to make each Credit Extension to be made thereby, each Loan Party represents and warrants to the Administrative Agent and Lender, on the Closing Date and on each Credit Date, that the following statements are true and correct:</w:t>
      </w:r>
    </w:p>
    <w:p>
      <w:pPr>
        <w:spacing w:after="0" w:line="126" w:lineRule="exact"/>
        <w:rPr>
          <w:sz w:val="20"/>
          <w:szCs w:val="20"/>
          <w:color w:val="auto"/>
        </w:rPr>
      </w:pPr>
    </w:p>
    <w:p>
      <w:pPr>
        <w:jc w:val="both"/>
        <w:ind w:left="8"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Requisite Power and Authority; Qualification</w:t>
      </w:r>
      <w:r>
        <w:rPr>
          <w:rFonts w:ascii="Times New Roman" w:cs="Times New Roman" w:eastAsia="Times New Roman" w:hAnsi="Times New Roman"/>
          <w:sz w:val="18"/>
          <w:szCs w:val="18"/>
          <w:color w:val="auto"/>
        </w:rPr>
        <w:t xml:space="preserve">. Each of Borrower and its Subsidiaries (a) is duly organized or incorporated, validly existing and in good standing under the laws of its jurisdiction of organization or incorporation as identified in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(b) has all requisite power and authority to own and operate its properties, to carry on its business as now conducted and as proposed to be conducted, to enter into the Loan Documents to which it is a party and to carry out the transactions contemplated thereby and, in the case of Borrower,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30" w:lineRule="exact"/>
        <w:rPr>
          <w:sz w:val="20"/>
          <w:szCs w:val="20"/>
          <w:color w:val="auto"/>
        </w:rPr>
      </w:pPr>
    </w:p>
    <w:p>
      <w:pPr>
        <w:jc w:val="both"/>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 Stock and Ownership</w:t>
      </w:r>
      <w:r>
        <w:rPr>
          <w:rFonts w:ascii="Times New Roman" w:cs="Times New Roman" w:eastAsia="Times New Roman" w:hAnsi="Times New Roman"/>
          <w:sz w:val="18"/>
          <w:szCs w:val="18"/>
          <w:color w:val="auto"/>
        </w:rPr>
        <w:t>. As of the Closing Date, the Borrower has no Subsidiaries except those Subsidiaries which are identified in Schedule 4.2 (which Schedule also identifies the direct and indirect owners of the Capital Stock of such Subsidiaries).</w:t>
      </w:r>
    </w:p>
    <w:p>
      <w:pPr>
        <w:spacing w:after="0" w:line="12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delivery and performance of the Loan Documents and the consummation by each Loan Party of the transactions contemplated hereby and by the other Loan Documents have been duly authorized by all necessary action on the part of each Loan Party that is a party thereto.</w:t>
      </w:r>
    </w:p>
    <w:p>
      <w:pPr>
        <w:spacing w:after="0" w:line="129" w:lineRule="exact"/>
        <w:rPr>
          <w:sz w:val="20"/>
          <w:szCs w:val="20"/>
          <w:color w:val="auto"/>
        </w:rPr>
      </w:pPr>
    </w:p>
    <w:p>
      <w:pPr>
        <w:jc w:val="both"/>
        <w:ind w:left="8" w:firstLine="551"/>
        <w:spacing w:after="0" w:line="220"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Loan Parties of the Loan Documents to which they are parties and the consummation of the transactions contemplated by the Loan Documents do not and will not (a) violate any provision of (i) any law or any governmental rule or regulation applicable to Borrower or any of its Subsidiaries, (ii) any of the Organizational Documents of Borrower or any of its Subsidiaries, or</w:t>
      </w:r>
    </w:p>
    <w:p>
      <w:pPr>
        <w:spacing w:after="0" w:line="2" w:lineRule="exact"/>
        <w:rPr>
          <w:sz w:val="20"/>
          <w:szCs w:val="20"/>
          <w:color w:val="auto"/>
        </w:rPr>
      </w:pPr>
    </w:p>
    <w:p>
      <w:pPr>
        <w:jc w:val="both"/>
        <w:ind w:left="8" w:hanging="8"/>
        <w:spacing w:after="0" w:line="217" w:lineRule="auto"/>
        <w:tabs>
          <w:tab w:leader="none" w:pos="34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court or other agency of government binding on Borrower or any of its Subsidiaries, except, in the cases of clauses (a)(i) and (a)(iii), as would not reasonably be expected to result in a Material Adverse Effect; (b) conflict with, result in a breach of or constitute (with due notice or lapse of time or both) an event of default under any Material Contract; (c) result in or require the creation or imposition of any Lien upon any of the properties or assets of Borrower or any of its Subsidiaries (other than any Liens permitted by this Agreement or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except as would not reasonably be expected to result in a Material Adverse Effect; or (e) require any approval of stockholders, members or partners or any approval or consent of any Person under any Material Contract, except for such approvals or consents that will be obtained on or before the Closing Date or other applicable Credit Date occurring after the Closing Date.</w:t>
      </w:r>
    </w:p>
    <w:p>
      <w:pPr>
        <w:spacing w:after="0" w:line="133" w:lineRule="exact"/>
        <w:rPr>
          <w:sz w:val="20"/>
          <w:szCs w:val="20"/>
          <w:color w:val="auto"/>
        </w:rPr>
      </w:pPr>
    </w:p>
    <w:p>
      <w:pPr>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The execution, delivery and performance by Loan Parties of the Loan Documents to which they are parties and the consummation of the transactions contemplated by the Loan Documents do not and will not require any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11268"/>
          </w:cols>
          <w:pgMar w:left="312" w:top="1207" w:right="319" w:bottom="1440" w:gutter="0" w:footer="0" w:header="0"/>
        </w:sectPr>
      </w:pPr>
    </w:p>
    <w:bookmarkStart w:id="124" w:name="page125"/>
    <w:bookmarkEnd w:id="124"/>
    <w:p>
      <w:pPr>
        <w:jc w:val="both"/>
        <w:spacing w:after="0" w:line="250" w:lineRule="auto"/>
        <w:rPr>
          <w:sz w:val="20"/>
          <w:szCs w:val="20"/>
          <w:color w:val="auto"/>
        </w:rPr>
      </w:pPr>
      <w:r>
        <w:rPr>
          <w:rFonts w:ascii="Times New Roman" w:cs="Times New Roman" w:eastAsia="Times New Roman" w:hAnsi="Times New Roman"/>
          <w:sz w:val="18"/>
          <w:szCs w:val="18"/>
          <w:color w:val="auto"/>
        </w:rPr>
        <w:t>with, consent or approval of, or notice to, or other action to, with or by, any Governmental Authority except for filings and recordings with respect to the Collateral to be made, or otherwise delivered to Administrative Agent for filing or recordation, as of the Closing Date.</w:t>
      </w:r>
    </w:p>
    <w:p>
      <w:pPr>
        <w:spacing w:after="0" w:line="12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Binding Obligation</w:t>
      </w:r>
      <w:r>
        <w:rPr>
          <w:rFonts w:ascii="Times New Roman" w:cs="Times New Roman" w:eastAsia="Times New Roman" w:hAnsi="Times New Roman"/>
          <w:sz w:val="18"/>
          <w:szCs w:val="18"/>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29"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condition (financial or otherwise) of the Borrower and any of its Subsidiaries taken as a whole.</w:t>
      </w:r>
    </w:p>
    <w:p>
      <w:pPr>
        <w:spacing w:after="0" w:line="13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During the period from [***] through the Closing Date, no event, circumstance or change occurred that caused or evidenced, either in any case or in the aggregate, a Material Adverse Effect. As of any Credit Date in respect of a Delayed Draw Term Loan, no Material Adverse Effect has occurred and is continuing.</w:t>
      </w:r>
    </w:p>
    <w:p>
      <w:pPr>
        <w:spacing w:after="0" w:line="129"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Adverse Proceedings, Etc</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there are currently no, and during the past [***], have not been any Adverse Proceedings that (a) relate to any Loan Document or the transactions contemplated hereby or thereby or (b) that would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would not reasonably be expected to result in a Material Adverse Effect.</w:t>
      </w:r>
    </w:p>
    <w:p>
      <w:pPr>
        <w:spacing w:after="0" w:line="251"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All U.S. federal and state income Tax returns and all other material Tax returns and reports required to have been filed by or with respect to Borrower or any of its Subsidiaries have been timely filed, and all U.S. federal and state income and all other material Taxes imposed on Borrower or any of its Subsidiaries, or with respect to their respective properties, assets, income, businesses and franchises, that have become due and payable have been paid when due and payable, except for: (x) Taxes that are being contested in good faith by appropriate proceedings diligently conducted and for which adequate reserves are being maintained in accordance with GAAP, or (y) to the extent failure to do so would not, individually or in the aggregate, reasonably be expected to have a Material Adverse Effect. Notwithstanding the foregoing, in the case of any Credit Date, matters occurring after the Closing Date that are permitted under Section 5.3 shall not violate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with respect to such Credit 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1260"/>
          </w:cols>
          <w:pgMar w:left="320" w:top="1207" w:right="319" w:bottom="1440" w:gutter="0" w:footer="0" w:header="0"/>
        </w:sectPr>
      </w:pPr>
    </w:p>
    <w:bookmarkStart w:id="125" w:name="page126"/>
    <w:bookmarkEnd w:id="125"/>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Properties, Title</w:t>
      </w:r>
      <w:r>
        <w:rPr>
          <w:rFonts w:ascii="Times New Roman" w:cs="Times New Roman" w:eastAsia="Times New Roman" w:hAnsi="Times New Roman"/>
          <w:sz w:val="18"/>
          <w:szCs w:val="18"/>
          <w:color w:val="auto"/>
        </w:rPr>
        <w:t>. Each of Borrower and its Subsidiaries has (a) good, sufficient, marketable and legal title to (in the case of fee 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Section 4.7 and in the most recent financial statements delivered pursuant to Section 5.1, in each case except for (i) assets disposed of since the date of such financial statements in the ordinary course of business or as otherwise permitted under Section 6.9 or (ii) defects in title or interests that would not, as of the Closing Date, individually or in the aggregate, reasonably be expected to interfere with the Borrower or its applicable Subsidiary’s ability to conduct its business as currently conducted or utilize such property for its intended purpose (or in the case of any Credit Date occurring after the Closing Date, such defects as would not, individually or in the aggregate, reasonably be expected to have a Material Adverse Effect). All such properties and assets are in working order and condition, ordinary wear and tear excepted, and except as permitted by this Agreement, all such properties and assets are free and clear of Liens (other than Permitted Liens). As of the Closing Date, Schedule 1.1 contains a true, accurate and complete list of all real property owned or leased by Borrower and its Subsidiaries comprising Specified Commercial Laboratories.</w:t>
      </w:r>
    </w:p>
    <w:p>
      <w:pPr>
        <w:spacing w:after="0" w:line="137"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any such failure would not reasonably be expected to result in a Material Adverse Effect:</w:t>
      </w:r>
    </w:p>
    <w:p>
      <w:pPr>
        <w:spacing w:after="0" w:line="160" w:lineRule="exact"/>
        <w:rPr>
          <w:sz w:val="20"/>
          <w:szCs w:val="20"/>
          <w:color w:val="auto"/>
        </w:rPr>
      </w:pPr>
    </w:p>
    <w:p>
      <w:pPr>
        <w:ind w:firstLine="1094"/>
        <w:spacing w:after="0" w:line="250" w:lineRule="auto"/>
        <w:tabs>
          <w:tab w:leader="none" w:pos="16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19" w:lineRule="exact"/>
        <w:rPr>
          <w:rFonts w:ascii="Times New Roman" w:cs="Times New Roman" w:eastAsia="Times New Roman" w:hAnsi="Times New Roman"/>
          <w:sz w:val="18"/>
          <w:szCs w:val="18"/>
          <w:color w:val="auto"/>
        </w:rPr>
      </w:pPr>
    </w:p>
    <w:p>
      <w:pPr>
        <w:ind w:firstLine="1094"/>
        <w:spacing w:after="0" w:line="250" w:lineRule="auto"/>
        <w:tabs>
          <w:tab w:leader="none" w:pos="165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Hazardous Materials and there are no Hazardous Materials present in violation of Environmental Law at any of the properties currently owned or operated by any Loan Party.</w:t>
      </w:r>
    </w:p>
    <w:p>
      <w:pPr>
        <w:spacing w:after="0" w:line="116"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and each of the properties owned or operated by, each Loan Party are in compliance with all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w:t>
      </w:r>
    </w:p>
    <w:p>
      <w:pPr>
        <w:spacing w:after="0" w:line="140" w:lineRule="exact"/>
        <w:rPr>
          <w:rFonts w:ascii="Times New Roman" w:cs="Times New Roman" w:eastAsia="Times New Roman" w:hAnsi="Times New Roman"/>
          <w:sz w:val="18"/>
          <w:szCs w:val="18"/>
          <w:color w:val="auto"/>
        </w:rPr>
      </w:pPr>
    </w:p>
    <w:p>
      <w:pPr>
        <w:ind w:firstLine="1094"/>
        <w:spacing w:after="0" w:line="250" w:lineRule="auto"/>
        <w:tabs>
          <w:tab w:leader="none" w:pos="165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holds, and is in compliance with those Governmental Authorizations required under any Environmental Laws in connection with the operations carried on by it and the properties owned or operated by it.</w:t>
      </w:r>
    </w:p>
    <w:p>
      <w:pPr>
        <w:spacing w:after="0" w:line="12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Neither Borrower nor any of its Subsidiaries is in default in the performance, observance or fulfillment of any of the obligations, covenants or conditions contained in any of its Contractual Obligations, and no condition exists that, with the giving of notice or the lapse of time or both, could constitute such a default, except, in each case, where the consequences, direct or indirect, of such default or defaults, if any, would not reasonably be expected to have a Material Adverse Effect.</w:t>
      </w:r>
    </w:p>
    <w:p>
      <w:pPr>
        <w:spacing w:after="0" w:line="129"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of the Closing Date and each Credit Date, all Material Contracts are in full force and effect. Each Material Contract is a legal, valid and binding obligation of Borrower or its Subsidiaries and, to the knowledge of Borrower, of each other party thereto, is enforceable in accordance with its terms and is in full force and effect, subject to bankruptcy, insolvency, fraudulent transfer, reorganization, moratorium and similar laws of general applicability relating to or affecting creditors’ rights and to general equity principles, except, in relation to any Credit Date occuring after the Closing Date [***]. Neither Borrower nor its Subsidiaries, nor, to the knowledge of Borrower or its Subsidiaries, any other party to any Material Contract is in material breach or default under the terms of any Material Contract, and no condition exists that, with the giving of notice or the lapse of time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1260"/>
          </w:cols>
          <w:pgMar w:left="320" w:top="1207" w:right="319" w:bottom="1440" w:gutter="0" w:footer="0" w:header="0"/>
        </w:sectPr>
      </w:pPr>
    </w:p>
    <w:bookmarkStart w:id="126" w:name="page127"/>
    <w:bookmarkEnd w:id="126"/>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would constitute a breach or default by Borrower or any of its Subsidiaries thereunder that could result in any material liability to Borrower or such Subsidiary or termination of such Material Contract [***].</w:t>
      </w:r>
    </w:p>
    <w:p>
      <w:pPr>
        <w:spacing w:after="0" w:line="120" w:lineRule="exact"/>
        <w:rPr>
          <w:sz w:val="20"/>
          <w:szCs w:val="20"/>
          <w:color w:val="auto"/>
        </w:rPr>
      </w:pPr>
    </w:p>
    <w:p>
      <w:pPr>
        <w:jc w:val="both"/>
        <w:ind w:left="8"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Governmental Regulation</w:t>
      </w:r>
      <w:r>
        <w:rPr>
          <w:rFonts w:ascii="Times New Roman" w:cs="Times New Roman" w:eastAsia="Times New Roman" w:hAnsi="Times New Roman"/>
          <w:sz w:val="18"/>
          <w:szCs w:val="18"/>
          <w:color w:val="auto"/>
        </w:rPr>
        <w:t>.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29" w:lineRule="exact"/>
        <w:rPr>
          <w:sz w:val="20"/>
          <w:szCs w:val="20"/>
          <w:color w:val="auto"/>
        </w:rPr>
      </w:pPr>
    </w:p>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Neither Borrower nor any of its Subsidiaries is engaged principally, or as one of its important 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spacing w:after="0" w:line="128" w:lineRule="exact"/>
        <w:rPr>
          <w:sz w:val="20"/>
          <w:szCs w:val="20"/>
          <w:color w:val="auto"/>
        </w:rPr>
      </w:pPr>
    </w:p>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No ERISA Event has occurred or is reasonably expected to occur that has resulted or would reasonably be expected to result in a Material Adverse Effect.</w:t>
      </w:r>
    </w:p>
    <w:p>
      <w:pPr>
        <w:spacing w:after="0" w:line="120" w:lineRule="exact"/>
        <w:rPr>
          <w:sz w:val="20"/>
          <w:szCs w:val="20"/>
          <w:color w:val="auto"/>
        </w:rPr>
      </w:pPr>
    </w:p>
    <w:p>
      <w:pPr>
        <w:jc w:val="both"/>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disclosed to Administrative Agent prior to the Closing Date, no broker’s or finder’s fee or commission will be payable with respect hereto or any of the transactions contemplated hereby.</w:t>
      </w:r>
    </w:p>
    <w:p>
      <w:pPr>
        <w:spacing w:after="0" w:line="120" w:lineRule="exact"/>
        <w:rPr>
          <w:sz w:val="20"/>
          <w:szCs w:val="20"/>
          <w:color w:val="auto"/>
        </w:rPr>
      </w:pPr>
    </w:p>
    <w:p>
      <w:pPr>
        <w:jc w:val="both"/>
        <w:ind w:left="8"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Borrower is individually, and the Loan Parties and their Subsidiaries on a consolidated basis are, and upon the occurrence of the Credit Extension by the Borrower on the Closing Date and on each Credit Date will be, Solvent.</w:t>
      </w:r>
    </w:p>
    <w:p>
      <w:pPr>
        <w:spacing w:after="0" w:line="120" w:lineRule="exact"/>
        <w:rPr>
          <w:sz w:val="20"/>
          <w:szCs w:val="20"/>
          <w:color w:val="auto"/>
        </w:rPr>
      </w:pPr>
    </w:p>
    <w:p>
      <w:pPr>
        <w:jc w:val="both"/>
        <w:ind w:left="8" w:firstLine="551"/>
        <w:spacing w:after="0"/>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underlying assets of Borrower and its Subsidiaries do not constitute “plan assets” within the meaning of 29 CFR §2510.3-101 et seq., as modified by Section 3(42) of ERISA (the “</w:t>
      </w:r>
      <w:r>
        <w:rPr>
          <w:rFonts w:ascii="Times New Roman" w:cs="Times New Roman" w:eastAsia="Times New Roman" w:hAnsi="Times New Roman"/>
          <w:sz w:val="18"/>
          <w:szCs w:val="18"/>
          <w:u w:val="single" w:color="auto"/>
          <w:color w:val="auto"/>
        </w:rPr>
        <w:t>Plan Assets Regulation</w:t>
      </w:r>
      <w:r>
        <w:rPr>
          <w:rFonts w:ascii="Times New Roman" w:cs="Times New Roman" w:eastAsia="Times New Roman" w:hAnsi="Times New Roman"/>
          <w:sz w:val="18"/>
          <w:szCs w:val="18"/>
          <w:color w:val="auto"/>
        </w:rPr>
        <w:t>” or any similar applicable law) of one or more Benefit Plans. Assuming for purposes of this Section 4.21 that the Lender is not, and will not be, using “plan assets” (within the meaning of the Plan Asset Regulation or any similar applicable law) of any Benefit Plans in connection with this Agreement, the execution, delivery and performance of this Agreement and the other Loan Documents do not and will not constitute a non-exempt prohibited transaction under Section 406 of ERISA or Section 4975 of the Internal Revenue Code.</w:t>
      </w:r>
    </w:p>
    <w:p>
      <w:pPr>
        <w:spacing w:after="0" w:line="248"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8"/>
          <w:szCs w:val="18"/>
          <w:u w:val="single" w:color="auto"/>
          <w:color w:val="auto"/>
        </w:rPr>
        <w:t>Compliance with Statutes, Etc</w:t>
      </w:r>
      <w:r>
        <w:rPr>
          <w:rFonts w:ascii="Times New Roman" w:cs="Times New Roman" w:eastAsia="Times New Roman" w:hAnsi="Times New Roman"/>
          <w:sz w:val="18"/>
          <w:szCs w:val="18"/>
          <w:color w:val="auto"/>
        </w:rPr>
        <w:t>. Each of Borrower and its Subsidiaries is in compliance with (i) its Organizational Documents and</w:t>
      </w:r>
    </w:p>
    <w:p>
      <w:pPr>
        <w:jc w:val="both"/>
        <w:ind w:left="8" w:right="20" w:hanging="8"/>
        <w:spacing w:after="0" w:line="226" w:lineRule="auto"/>
        <w:tabs>
          <w:tab w:leader="none" w:pos="29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laws, statutes, regulations and orders of, and all applicable restrictions imposed by, all Governmental Authorities, in respect of the conduct of its business and the ownership of its property, except such non-compliance that, individually or in the aggregate, would not reasonably be expected to result in a Material Adverse Effect.</w:t>
      </w:r>
    </w:p>
    <w:p>
      <w:pPr>
        <w:spacing w:after="0" w:line="130"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543"/>
        <w:spacing w:after="0" w:line="229" w:lineRule="auto"/>
        <w:tabs>
          <w:tab w:leader="none" w:pos="11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4.23(a)(1)</w:t>
      </w:r>
      <w:r>
        <w:rPr>
          <w:rFonts w:ascii="Times New Roman" w:cs="Times New Roman" w:eastAsia="Times New Roman" w:hAnsi="Times New Roman"/>
          <w:sz w:val="18"/>
          <w:szCs w:val="18"/>
          <w:color w:val="auto"/>
        </w:rPr>
        <w:t xml:space="preserve"> sets forth a complete and accurate list as of the Closing Date of all (x) Patents, including any Patent applications, (y) registered Trademarks (including domain names) and any pending registrations or applications for Trademarks, and (z) registered Copyrights and any applications for Copyright registration, in each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owned by the Borrower or any Guarantor. </w:t>
      </w:r>
      <w:r>
        <w:rPr>
          <w:rFonts w:ascii="Times New Roman" w:cs="Times New Roman" w:eastAsia="Times New Roman" w:hAnsi="Times New Roman"/>
          <w:sz w:val="18"/>
          <w:szCs w:val="18"/>
          <w:u w:val="single" w:color="auto"/>
          <w:color w:val="auto"/>
        </w:rPr>
        <w:t>Schedule 4.23(a)(2)</w:t>
      </w:r>
      <w:r>
        <w:rPr>
          <w:rFonts w:ascii="Times New Roman" w:cs="Times New Roman" w:eastAsia="Times New Roman" w:hAnsi="Times New Roman"/>
          <w:sz w:val="18"/>
          <w:szCs w:val="18"/>
          <w:color w:val="auto"/>
        </w:rPr>
        <w:t xml:space="preserve"> sets forth a complete and accurate list as of the Closing Date of all material in-bound license or sublicense agreements 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1268"/>
          </w:cols>
          <w:pgMar w:left="312" w:top="1207" w:right="319" w:bottom="1440" w:gutter="0" w:footer="0" w:header="0"/>
        </w:sectPr>
      </w:pPr>
    </w:p>
    <w:bookmarkStart w:id="127" w:name="page128"/>
    <w:bookmarkEnd w:id="127"/>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respect to any Intellectual Property Right owned by a Third Party that is used in and material to the conduct of the business of the Borrower and the Subsidiaries (but excluding inbound licenses of over-the-counter or “open source” software that is commercially available to the public or licenses to other Intellectual Property Rights licensed or otherwise made available pursuant to a click-wrap, shrink wrap or similar agreement or on a subscription basis). For each item of Intellectual Property Right listed on </w:t>
      </w:r>
      <w:r>
        <w:rPr>
          <w:rFonts w:ascii="Times New Roman" w:cs="Times New Roman" w:eastAsia="Times New Roman" w:hAnsi="Times New Roman"/>
          <w:sz w:val="18"/>
          <w:szCs w:val="18"/>
          <w:u w:val="single" w:color="auto"/>
          <w:color w:val="auto"/>
        </w:rPr>
        <w:t>Schedule 4.23(a)(1)</w:t>
      </w:r>
      <w:r>
        <w:rPr>
          <w:rFonts w:ascii="Times New Roman" w:cs="Times New Roman" w:eastAsia="Times New Roman" w:hAnsi="Times New Roman"/>
          <w:sz w:val="18"/>
          <w:szCs w:val="18"/>
          <w:color w:val="auto"/>
        </w:rPr>
        <w:t>, as of the Closing Date, the Borrower has, where relevant, indicated (A) the countries in which such item is registered, (B) the application numbers, (C) the registration or patent numbers, and (D) the owner of such item of Intellectual Property Right.</w:t>
      </w:r>
    </w:p>
    <w:p>
      <w:pPr>
        <w:spacing w:after="0" w:line="132" w:lineRule="exact"/>
        <w:rPr>
          <w:sz w:val="20"/>
          <w:szCs w:val="20"/>
          <w:color w:val="auto"/>
        </w:rPr>
      </w:pPr>
    </w:p>
    <w:p>
      <w:pPr>
        <w:jc w:val="both"/>
        <w:ind w:firstLine="1094"/>
        <w:spacing w:after="0" w:line="234" w:lineRule="auto"/>
        <w:tabs>
          <w:tab w:leader="none" w:pos="16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Borrower, the Owned Intellectual Property and Licensed Intellectual Property together constitute all Intellectual Property Rights reasonably necessary for the operation of the business of the Borrower and the Subsidiaries as currently conducted and as currently proposed to be conducted, except in each case as would not reasonably be expected to have a Material Adverse Effect.</w:t>
      </w:r>
    </w:p>
    <w:p>
      <w:pPr>
        <w:spacing w:after="0" w:line="12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Borrower and each Subsidiary owns, or has a valid license or rights in any other form, as applicable, to all rights associated with the Owned Intellectual Property and the Licensed Intellectual Property on the Closing Date, except as would not reasonably be expected to cause a Material Adverse Effect. The Owned Intellectual Property and the agreements associated with the Licensed Intellectual Property are free and clear of any and all Liens other than Permitted Liens or other Liens permitted under this Agreement. This </w:t>
      </w:r>
      <w:r>
        <w:rPr>
          <w:rFonts w:ascii="Times New Roman" w:cs="Times New Roman" w:eastAsia="Times New Roman" w:hAnsi="Times New Roman"/>
          <w:sz w:val="18"/>
          <w:szCs w:val="18"/>
          <w:u w:val="single" w:color="auto"/>
          <w:color w:val="auto"/>
        </w:rPr>
        <w:t>Section 4.23(c)</w:t>
      </w:r>
      <w:r>
        <w:rPr>
          <w:rFonts w:ascii="Times New Roman" w:cs="Times New Roman" w:eastAsia="Times New Roman" w:hAnsi="Times New Roman"/>
          <w:sz w:val="18"/>
          <w:szCs w:val="18"/>
          <w:color w:val="auto"/>
        </w:rPr>
        <w:t xml:space="preserve"> shall not be construed as a representation that the Borrower or any Subsidiary is Infringing any Intellectual Property Right of any Person.</w:t>
      </w:r>
    </w:p>
    <w:p>
      <w:pPr>
        <w:spacing w:after="0" w:line="127"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 Subsidiary, as applicable, is the sole and exclusive owner of all right, title and interest in and to all of its Owned Intellectual Property and has possession of a proper chain of title from each inventor of any technology claimed in any Patent or Patent application assigning full unconditional ownership to each of the Borrower or such Subsidiary, as applicable, in each case of the foregoing except as would not reasonably be expected to cause a Material Adverse Effect. All such Owned Intellectual Property is subsisting and has not expired, lapsed or been forfeited, cancelled or abandoned unless permitted hereunder, except where such event or circumstance is not reasonably expected to cause a Material Adverse Effect.</w:t>
      </w:r>
    </w:p>
    <w:p>
      <w:pPr>
        <w:spacing w:after="0" w:line="132"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each Subsidiary, as applicable, has taken commercially reasonable actions to maintain and protect all Owned Intellectual Property, including by timely paying all registration, maintenance, renewal and annuity fees, as applicable, except where the failure to take such action would not reasonably be expected to cause a Material Adverse Effect.</w:t>
      </w:r>
    </w:p>
    <w:p>
      <w:pPr>
        <w:spacing w:after="0" w:line="12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4.23(f)</w:t>
      </w:r>
      <w:r>
        <w:rPr>
          <w:rFonts w:ascii="Times New Roman" w:cs="Times New Roman" w:eastAsia="Times New Roman" w:hAnsi="Times New Roman"/>
          <w:sz w:val="18"/>
          <w:szCs w:val="18"/>
          <w:color w:val="auto"/>
        </w:rPr>
        <w:t>, (i) there is no proceeding challenging the ownership, inventorship validity or enforceability of any Owned Intellectual Property, (ii) neither the Borrower nor any of the Subsidiaries is involved in any proceeding where it is challenging the ownership, validity or enforceability of any Intellectual Property Right of any other Person, and (iii) none of the Owned Intellectual Property is the subject of any material Other Administrative Proceeding, except in each case where such challenge is not reasonably expected to have a Material Adverse Effect, and except for prosecution of pending Intellectual Property applications.</w:t>
      </w:r>
    </w:p>
    <w:p>
      <w:pPr>
        <w:spacing w:after="0" w:line="127"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4.23(g)</w:t>
      </w:r>
      <w:r>
        <w:rPr>
          <w:rFonts w:ascii="Times New Roman" w:cs="Times New Roman" w:eastAsia="Times New Roman" w:hAnsi="Times New Roman"/>
          <w:sz w:val="18"/>
          <w:szCs w:val="18"/>
          <w:color w:val="auto"/>
        </w:rPr>
        <w:t>, to the knowledge of the Borrower, (A) all Owned Intellectual Property and the Licensed Intellectual Property is valid, enforceable and subsisting, and (B) no event has occurred, and nothing has been done or omitted to have been done, that would affect the validity or enforceability of any Owned Intellectual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ectPr>
          <w:pgSz w:w="11900" w:h="16838" w:orient="portrait"/>
          <w:cols w:equalWidth="0" w:num="1">
            <w:col w:w="11260"/>
          </w:cols>
          <w:pgMar w:left="320" w:top="1207"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Property or Licensed Intellectual Property, except where such event is not reasonably expected to have a Material Adverse Effect.</w:t>
      </w:r>
    </w:p>
    <w:p>
      <w:pPr>
        <w:spacing w:after="0" w:line="160" w:lineRule="exact"/>
        <w:rPr>
          <w:sz w:val="20"/>
          <w:szCs w:val="20"/>
          <w:color w:val="auto"/>
        </w:rPr>
      </w:pPr>
    </w:p>
    <w:p>
      <w:pPr>
        <w:jc w:val="both"/>
        <w:ind w:firstLine="1094"/>
        <w:spacing w:after="0" w:line="229" w:lineRule="auto"/>
        <w:tabs>
          <w:tab w:leader="none" w:pos="16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pending or threatened in writing that have been brought by the Borrower or any of the Subsidiaries against any Person alleging Infringement of any Owned Intellectual Property or Licensed Intellectual Property, except for any claims that would not reasonably be expected to have a Material Adverse Effect. To the knowledge of the Borrower, no Third Party is committing any act of Infringement of any Owned Intellectual Property or Licensed Intellectual Property, except where such Infringement is not reasonably expected to have a Material Adverse Effect.</w:t>
      </w:r>
    </w:p>
    <w:p>
      <w:pPr>
        <w:spacing w:after="0" w:line="128" w:lineRule="exact"/>
        <w:rPr>
          <w:rFonts w:ascii="Times New Roman" w:cs="Times New Roman" w:eastAsia="Times New Roman" w:hAnsi="Times New Roman"/>
          <w:sz w:val="18"/>
          <w:szCs w:val="18"/>
          <w:color w:val="auto"/>
        </w:rPr>
      </w:pPr>
    </w:p>
    <w:p>
      <w:pPr>
        <w:jc w:val="both"/>
        <w:ind w:firstLine="1094"/>
        <w:spacing w:after="0" w:line="220" w:lineRule="auto"/>
        <w:tabs>
          <w:tab w:leader="none" w:pos="1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with respect to each license agreement listed on </w:t>
      </w:r>
      <w:r>
        <w:rPr>
          <w:rFonts w:ascii="Times New Roman" w:cs="Times New Roman" w:eastAsia="Times New Roman" w:hAnsi="Times New Roman"/>
          <w:sz w:val="18"/>
          <w:szCs w:val="18"/>
          <w:u w:val="single" w:color="auto"/>
          <w:color w:val="auto"/>
        </w:rPr>
        <w:t>Schedule 4.23(a)(2)</w:t>
      </w:r>
      <w:r>
        <w:rPr>
          <w:rFonts w:ascii="Times New Roman" w:cs="Times New Roman" w:eastAsia="Times New Roman" w:hAnsi="Times New Roman"/>
          <w:sz w:val="18"/>
          <w:szCs w:val="18"/>
          <w:color w:val="auto"/>
        </w:rPr>
        <w:t xml:space="preserve">, such license agreement (i) is in full force and effect and is binding upon and enforceable against the Borrower and the Subsidiaries to the extent party thereto and, to the knowledge of the Borrower, all other parties thereto in accordance with its terms, (ii) has not been amended or otherwise modified, except as set forth on </w:t>
      </w:r>
      <w:r>
        <w:rPr>
          <w:rFonts w:ascii="Times New Roman" w:cs="Times New Roman" w:eastAsia="Times New Roman" w:hAnsi="Times New Roman"/>
          <w:sz w:val="18"/>
          <w:szCs w:val="18"/>
          <w:u w:val="single" w:color="auto"/>
          <w:color w:val="auto"/>
        </w:rPr>
        <w:t>Schedule 4.23(a)</w:t>
      </w:r>
    </w:p>
    <w:p>
      <w:pPr>
        <w:spacing w:after="0" w:line="1" w:lineRule="exact"/>
        <w:rPr>
          <w:rFonts w:ascii="Times New Roman" w:cs="Times New Roman" w:eastAsia="Times New Roman" w:hAnsi="Times New Roman"/>
          <w:sz w:val="18"/>
          <w:szCs w:val="18"/>
          <w:color w:val="auto"/>
        </w:rPr>
      </w:pPr>
    </w:p>
    <w:p>
      <w:pPr>
        <w:jc w:val="both"/>
        <w:ind w:right="2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and (iii) has not suffered a default or breach thereunder (with respect to defaults or breaches of parties other than the Borrower and the Subsidiaries, to the knowledge of the Borrower) except, in each of the foregoing clauses (i) through (iii), to the extent as would not reasonably be expected to have a Material Adverse Effect.</w:t>
      </w:r>
    </w:p>
    <w:p>
      <w:pPr>
        <w:spacing w:after="0" w:line="130" w:lineRule="exact"/>
        <w:rPr>
          <w:rFonts w:ascii="Times New Roman" w:cs="Times New Roman" w:eastAsia="Times New Roman" w:hAnsi="Times New Roman"/>
          <w:sz w:val="18"/>
          <w:szCs w:val="18"/>
          <w:color w:val="auto"/>
        </w:rPr>
      </w:pPr>
    </w:p>
    <w:p>
      <w:pPr>
        <w:jc w:val="both"/>
        <w:ind w:firstLine="1094"/>
        <w:spacing w:after="0" w:line="221" w:lineRule="auto"/>
        <w:tabs>
          <w:tab w:leader="none" w:pos="1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except as set forth on </w:t>
      </w:r>
      <w:r>
        <w:rPr>
          <w:rFonts w:ascii="Times New Roman" w:cs="Times New Roman" w:eastAsia="Times New Roman" w:hAnsi="Times New Roman"/>
          <w:sz w:val="18"/>
          <w:szCs w:val="18"/>
          <w:u w:val="single" w:color="auto"/>
          <w:color w:val="auto"/>
        </w:rPr>
        <w:t>Schedule 4.23(j)(1)</w:t>
      </w:r>
      <w:r>
        <w:rPr>
          <w:rFonts w:ascii="Times New Roman" w:cs="Times New Roman" w:eastAsia="Times New Roman" w:hAnsi="Times New Roman"/>
          <w:sz w:val="18"/>
          <w:szCs w:val="18"/>
          <w:color w:val="auto"/>
        </w:rPr>
        <w:t xml:space="preserve"> and as would not reasonably be expected to have a Material Adverse Effect, neither the Borrower nor any of the Subsidiaries has received written notice or, to the knowledge of the Borrower, any other communications from any Third Party: (i) alleging that the conduct of the business of the Borrower or any of the Subsidiaries (including the development, manufacture, use, sale or other commercialization of any Product) Infringes any Intellectual Property Right of that or any other Third Party or (ii) challenging the validity or enforceability of any of Patent owned by the Borrower or any Subsidiary. To the knowledge of the Borrower, except as set forth on </w:t>
      </w:r>
      <w:r>
        <w:rPr>
          <w:rFonts w:ascii="Times New Roman" w:cs="Times New Roman" w:eastAsia="Times New Roman" w:hAnsi="Times New Roman"/>
          <w:sz w:val="18"/>
          <w:szCs w:val="18"/>
          <w:u w:val="single" w:color="auto"/>
          <w:color w:val="auto"/>
        </w:rPr>
        <w:t>Schedule 4.23(j)(2)</w:t>
      </w:r>
      <w:r>
        <w:rPr>
          <w:rFonts w:ascii="Times New Roman" w:cs="Times New Roman" w:eastAsia="Times New Roman" w:hAnsi="Times New Roman"/>
          <w:sz w:val="18"/>
          <w:szCs w:val="18"/>
          <w:color w:val="auto"/>
        </w:rPr>
        <w:t>, the conduct of its respective business and the business of the Subsidiaries (including the development, manufacture, use, sale or other commercialization of any Product) does not Infringe any Intellectual Property Right of any Third Party, except as would not reasonably be expected to have a Material Adverse Effect.</w:t>
      </w:r>
    </w:p>
    <w:p>
      <w:pPr>
        <w:spacing w:after="0" w:line="128"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Subsidiaries have used commercially reasonable efforts and precautions to protect their (i) rights in, and with respect to, Confidential Business Information, and maintain the confidentiality of, their respective Owned Intellectual Property and (ii) respective commercially significant unregistered Intellectual Property, in each of the foregoing clauses (i) and (ii), on the Closing Date, in all material respects, except as would not reasonably be expected to have a Material Adverse Effect.</w:t>
      </w:r>
    </w:p>
    <w:p>
      <w:pPr>
        <w:spacing w:after="0" w:line="128"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current and former employees of the Borrower and each Subsidiary, and all other Persons with access to any Confidential Business Information, are subject to written agreements that include customary confidentiality and restriction on use terms sufficient to maintain the confidential status and limit the use of such Confidential Business Information, and (ii) no trade secret of the Borrower or any of its Subsidiaries with respect to any Product has been published or disclosed by the Borrower or any of its Subsidiaries to any Person, except pursuant to a written agreement requiring such Person to keep such trade secret confidential, in each case of the foregoing clauses (i) and (ii), on the Closing Date, in all material respects, except as would not reasonably be expected to have a Material Adverse Effect.</w:t>
      </w:r>
    </w:p>
    <w:p>
      <w:pPr>
        <w:spacing w:after="0" w:line="132" w:lineRule="exact"/>
        <w:rPr>
          <w:rFonts w:ascii="Times New Roman" w:cs="Times New Roman" w:eastAsia="Times New Roman" w:hAnsi="Times New Roman"/>
          <w:sz w:val="18"/>
          <w:szCs w:val="18"/>
          <w:color w:val="auto"/>
        </w:rPr>
      </w:pPr>
    </w:p>
    <w:p>
      <w:pPr>
        <w:ind w:right="20" w:firstLine="1094"/>
        <w:spacing w:after="0" w:line="250" w:lineRule="auto"/>
        <w:tabs>
          <w:tab w:leader="none" w:pos="16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sets forth the sole representations and warranties of the Borrower with respect to the Infringement of any Intellectual Property Rights of any Person.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1260"/>
          </w:cols>
          <w:pgMar w:left="320" w:top="1207" w:right="319" w:bottom="1440" w:gutter="0" w:footer="0" w:header="0"/>
        </w:sectPr>
      </w:pPr>
    </w:p>
    <w:bookmarkStart w:id="129" w:name="page130"/>
    <w:bookmarkEnd w:id="129"/>
    <w:p>
      <w:pPr>
        <w:jc w:val="both"/>
        <w:ind w:firstLine="551"/>
        <w:spacing w:after="0" w:line="223"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As of the Closing Date and each Credit Date, each of Borrower and its Subsidiaries keeps its property adequately insured and maintains (a) insurance to such 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required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sets forth a list of all insurance maintained by each Loan Party on the Closing Date.</w:t>
      </w:r>
    </w:p>
    <w:p>
      <w:pPr>
        <w:spacing w:after="0" w:line="132"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4.27</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0"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xml:space="preserve">. The Collateral Documents create in favor of Administrative Agent, for the benefit of Secured Parties, a legal, valid and enforceable security interest in the Collateral secured thereby. Upon the filing of the UCC-1 financing statements described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the possession by Administrative Agent of any certificated Capital Stock or instrument owned by such Loan Party, the recordals required by the Pledge and Security Agreement in the United States Patent and Trademark Office and the United States Copyright Office, as applicable, such security interests in and Liens on the Collateral granted thereby shall be perfected, First Priority security interests (in each case, solely to the extent the making of such filings and taking of such action complies with Requirements of Law and subject to any Permitted Liens), and no further recordings or filings are or will be required in connection with the creation, perfection or enforcement of such security interests and Liens, other than (a) the filing of continuation statements in accordance with applicable law, and (b) the recordals required by the Pledge and Security Agreement in the United States Patent and Trademark Office and the United States Copyright Office, as applicable.</w:t>
      </w:r>
    </w:p>
    <w:p>
      <w:pPr>
        <w:spacing w:after="0" w:line="13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Sanctions and FCPA</w:t>
      </w:r>
      <w:r>
        <w:rPr>
          <w:rFonts w:ascii="Times New Roman" w:cs="Times New Roman" w:eastAsia="Times New Roman" w:hAnsi="Times New Roman"/>
          <w:sz w:val="18"/>
          <w:szCs w:val="18"/>
          <w:color w:val="auto"/>
        </w:rPr>
        <w:t>. Since [***], each Loan Party has been in compliance with applicable Sanctions in all material respects. Neither the Loan Parties nor any of their officers, directors, employees or agents acting on the Loan Parties’ behalf shall use the proceeds of the Loans to make any payments, directly or indirectly (including through any third party intermediary), to any Foreign Official in violation of the United States Foreign Corrupt Practices Act of 1977 (the “FCPA”) or any other applicable Anti-Corruption Laws. None of the Loan Parties or their respective agents acting or benefiting in any capacity in connection with the Loans or other transactions hereunder, is, or has been since [***], a Sanctioned Person. None of the Loan Parties, nor any of their agents acting in any capacity in connection with the Loans or other transactions contemplated hereunder (A) conducts any business or engages in making or receiving any contribution of funds, goods or services to or for the benefit of any Sanctioned Person in violation of applicable Sanctions, or (B) deals in, or otherwise engages in any transaction relating to, any property or interests in property blocked pursuant to any Sanctions.</w:t>
      </w:r>
    </w:p>
    <w:p>
      <w:pPr>
        <w:spacing w:after="0" w:line="181"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4.30</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4.31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 representation or warranty of any Loan Party contained in any Loan Document or in any other documents, certificates or written statements (other than any projections, estimates and pro forma financial information and any general economic or specific industry information)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materially misleading in light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1260"/>
          </w:cols>
          <w:pgMar w:left="320" w:top="1207" w:right="319" w:bottom="1440" w:gutter="0" w:footer="0" w:header="0"/>
        </w:sectPr>
      </w:pPr>
    </w:p>
    <w:bookmarkStart w:id="130" w:name="page131"/>
    <w:bookmarkEnd w:id="130"/>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the circumstances in which the same were made. Any projections and pro forma financial information contained in such materials are based upon good faith estimates and assumptions believed by Borrower to be reasonable at the time made, it being recognized by Lenders that such projections as to future events are not to be viewed as facts and that actual results during the period or periods covered by any such projections may differ materially from the projected results. The information provided by the Loan Parties to Lenders in the Perfection Certificate (as supplemented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5.1(n)</w:t>
      </w:r>
      <w:r>
        <w:rPr>
          <w:rFonts w:ascii="Times New Roman" w:cs="Times New Roman" w:eastAsia="Times New Roman" w:hAnsi="Times New Roman"/>
          <w:sz w:val="18"/>
          <w:szCs w:val="18"/>
          <w:color w:val="auto"/>
        </w:rPr>
        <w:t>) is true and correct in all material respects as of the date such Perfection Certificate was delivered.</w:t>
      </w:r>
    </w:p>
    <w:p>
      <w:pPr>
        <w:spacing w:after="0" w:line="128"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4.32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Initial Term Loans, the Delayed Draw Term Loans and any Incremental Term Loans shall be used in accordance with the applicable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29"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4.33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Borrower and the Subsidiaries have all Permits, including Key Permits, required for the ownership, operation and conduct of their business, including their testing and distribution of the Products, except as would not reasonably be expected to have a Material Adverse Effect. The transactions contemplated by the Loan Documents (or contemplated by the conditions to effectiveness of any Loan Document) will not materially impair the Borrower’s or any of the Subsidiaries’ ownership of or rights under (or the license or other right to use, as the case may be) any Key Permits relating to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-537845</wp:posOffset>
            </wp:positionV>
            <wp:extent cx="2603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0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4.34</w:t>
      </w:r>
      <w:r>
        <w:rPr>
          <w:sz w:val="20"/>
          <w:szCs w:val="20"/>
          <w:color w:val="auto"/>
        </w:rPr>
        <w:tab/>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2" w:lineRule="auto"/>
        <w:tabs>
          <w:tab w:leader="none" w:pos="16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reasonably be expected to have a Material Adverse Effect, all Permits held by the Borrower and the Subsidiaries are and, during the past [***], have been (i) legally and beneficially owned exclusively by the Borrower or such Subsidiary, free and clear of all Liens other than Liens permitted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and (ii) validly registered and on file with the applicable Governmental Authority, in compliance with all filing and maintenance requirements (including any fee requirements) thereof, and (iii) in good standing, valid and enforceable with the applicable Governmental Authority. All required notices, registrations and listings, supplemental applications or notifications, reports and other required filings with respect to the Products have been filed with applicable Governmental Authorities, except where the failure to file the same would not, whether individually or in the aggregate, reasonably be expected to have a Material Adverse Effect.</w:t>
      </w:r>
    </w:p>
    <w:p>
      <w:pPr>
        <w:spacing w:after="0" w:line="129" w:lineRule="exact"/>
        <w:rPr>
          <w:rFonts w:ascii="Times New Roman" w:cs="Times New Roman" w:eastAsia="Times New Roman" w:hAnsi="Times New Roman"/>
          <w:sz w:val="18"/>
          <w:szCs w:val="18"/>
          <w:color w:val="auto"/>
        </w:rPr>
      </w:pPr>
    </w:p>
    <w:p>
      <w:pPr>
        <w:jc w:val="both"/>
        <w:ind w:firstLine="1094"/>
        <w:spacing w:after="0" w:line="219" w:lineRule="auto"/>
        <w:tabs>
          <w:tab w:leader="none" w:pos="16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to have a Material Adverse Effect, since [***], (i) the Products, as well as the business of the Borrower and the Subsidiaries, comply with (A) all applicable Requirements of Law, including, without limitation, applicable requirements of CLIA and the FD&amp;C Act (it being understood and agreed that, as of the Closing Date, the Borrower and its Subsidiaries do not have medical device clearances or approvals from the FDA for its LDTs), and (B) the terms of all Regulatory Authorizations and other Permits; (ii) all laboratory testing services have been conducted in compliance with CLIA and all federal and state Requirements of Law regarding laboratory testing services; (iii) all LDTs have been designed, developed, validated, and performed in compliance with CLIA, and all federal and state Requirements of Law regarding laboratory testing services; (iv) none of the Borrower and the Subsidiaries, or, to the knowledge of the Borrower, their respective suppliers, have received any inspection reports, warning letters, untitled letters or similar documents with respect to any Product and/or with respect to the business of the Borrower and/or the Subsidiaries, from any Governmental Authority that assert lack of compliance with any applicable Requirements of Law (other than inspection reports that do not contain material findings or that have been remedied); (v) none of the Borrower or any of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1260"/>
          </w:cols>
          <w:pgMar w:left="320" w:top="1207" w:right="319" w:bottom="1440" w:gutter="0" w:footer="0" w:header="0"/>
        </w:sectPr>
      </w:pPr>
    </w:p>
    <w:bookmarkStart w:id="131" w:name="page132"/>
    <w:bookmarkEnd w:id="131"/>
    <w:p>
      <w:pPr>
        <w:jc w:val="both"/>
        <w:spacing w:after="0" w:line="216" w:lineRule="auto"/>
        <w:rPr>
          <w:sz w:val="20"/>
          <w:szCs w:val="20"/>
          <w:color w:val="auto"/>
        </w:rPr>
      </w:pPr>
      <w:r>
        <w:rPr>
          <w:rFonts w:ascii="Times New Roman" w:cs="Times New Roman" w:eastAsia="Times New Roman" w:hAnsi="Times New Roman"/>
          <w:sz w:val="18"/>
          <w:szCs w:val="18"/>
          <w:color w:val="auto"/>
        </w:rPr>
        <w:t>the Subsidiaries has received any written notice of, or otherwise have knowledge of, any pending regulatory enforcement action, investigation, inquiry or other Adverse Proceeding against the Borrower or any of the Subsidiaries or, to the knowledge of the Borrower, any of their respective suppliers, with respect to the Products; (vi) there have been no Product recalls, safety alerts, withdrawals, clinical holds, marketing suspensions, removals, seizures, injunctions or the like conducted, undertaken or issued by any Person, whether or not at the request, demand or order of any Governmental Authority or otherwise, with respect to any Product nor, to the knowledge of the Borrower, has any such action been requested, demanded, or ordered by any Governmental Authority; (vii) none of the Borrower or any of the Subsidiaries has received any written notice of (A) any criminal, injunctive, seizure, detention or civil penalty actions that have been commenced or threatened in writing by any Governmental Authority with respect to or in connection with any Products, or (B) any consent decrees (including plea agreements) which relate to any Products; and (viii) to the knowledge of the Borrower, there is no basis for commencement of any criminal, injunctive, seizure, detention, or civil penalty actions by any Governmental Authority relating to the Products or for issuance of any consent decrees. None of the Borrower or any of the Subsidiaries is employing or utilizing the services of any individual who has been excluded, debarred or suspended under any applicable Requirements of Law since [***], other than, with respect to a Credit Date after the Closing Date, any employee or service provider that has been terminated by the Borrower reasonably promptly following the Borrower or its Subsidiaries becoming aware of such exclusion, suspension or debarment. Except as set forth on Schedule 4.34(b), since [***], none of the Borrower or any of the Subsidiaries, any individual who is an officer or director of the Borrower or any of the Subsidiaries has been convicted of any crime that has resulted or would reasonably be expected to result in a debarment or exclusion under (i) 21 U.S.C. Section 335a or (ii) any similar applicable Law, except, as of any Credit Date after the Closing Date, for any such individuals who have been promptly terminated by the Borrower or its Subsidiaries following such conviction or charge or as would not reasonably be expected to result in a Material Adverse Effect. Except as set forth on Schedule 4.34(b), from [***] through the Closing Date and, except as would not reasonably be expected to result in a Material Adverse Effect, from [***] through each Credit Date after the Closing Date), no debarment proceedings or investigations in respect of the business of the Borrower or any of the Subsidiaries are pending or, to the Borrower’s knowledge, threatened against the Borrower, any of the Subsidiaries or any individual who is an officer, director, manager or employee of the Borrower or any of the Subsidiaries.</w:t>
      </w:r>
    </w:p>
    <w:p>
      <w:pPr>
        <w:spacing w:after="0" w:line="130" w:lineRule="exact"/>
        <w:rPr>
          <w:sz w:val="20"/>
          <w:szCs w:val="20"/>
          <w:color w:val="auto"/>
        </w:rPr>
      </w:pPr>
    </w:p>
    <w:p>
      <w:pPr>
        <w:jc w:val="both"/>
        <w:ind w:firstLine="1094"/>
        <w:spacing w:after="0" w:line="222" w:lineRule="auto"/>
        <w:tabs>
          <w:tab w:leader="none" w:pos="16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(and, except as would not reasonably be expected to result in a Material Adverse Effect, as of each other Credit Date), none of the Borrower or the Subsidiaries has received any written notice from, any Governmental Authority or an institutional review board or ethics committee alleging any material non-compliance with applicable Requirements of Law or GCPs or otherwise requiring the termination or suspension of any clinical trial (in-whole or in-part) conducted, or being conducted, by or on behalf of the Borrower and the Subsidiaries with respect to any Product. Except as would not reasonably be expected to have a Material Adverse Effect, no clinical trial conducted, or being conducted, by or on behalf of the Borrower, and/or the Subsidiaries with respect to any Product has used, or is using, any clinical investigator who has been disqualified from conducting clinical investigations by FDA or other Governmental Authority.</w:t>
      </w:r>
    </w:p>
    <w:p>
      <w:pPr>
        <w:spacing w:after="0" w:line="12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to have a Material Adverse Effect, with respect to the Products, since [***]: (i) all activities (including, without limitation, testing, validating, performing, marketing, sale, promotion, recordkeeping) by the Borrower or any of the Subsidiaries and, to the knowledge of the Borrower, their respective suppliers relating to the Products have been conducted, and are currently being conducted, in compliance with the applicable requirements of CLIA, the FD&amp;C Act, and other applicable requirements of Governmental Authorities, and (ii) none of the Borrower or any of the Subsidiaries, or, to the knowledge of the Borrower, any of their respective suppliers, has received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260"/>
          </w:cols>
          <w:pgMar w:left="320" w:top="1207" w:right="319" w:bottom="1440" w:gutter="0" w:footer="0" w:header="0"/>
        </w:sectPr>
      </w:pPr>
    </w:p>
    <w:bookmarkStart w:id="132" w:name="page133"/>
    <w:bookmarkEnd w:id="132"/>
    <w:p>
      <w:pPr>
        <w:jc w:val="both"/>
        <w:ind w:left="8"/>
        <w:spacing w:after="0" w:line="229" w:lineRule="auto"/>
        <w:rPr>
          <w:sz w:val="20"/>
          <w:szCs w:val="20"/>
          <w:color w:val="auto"/>
        </w:rPr>
      </w:pPr>
      <w:r>
        <w:rPr>
          <w:rFonts w:ascii="Times New Roman" w:cs="Times New Roman" w:eastAsia="Times New Roman" w:hAnsi="Times New Roman"/>
          <w:sz w:val="18"/>
          <w:szCs w:val="18"/>
          <w:color w:val="auto"/>
        </w:rPr>
        <w:t>written notice or threat of commencement of action by any Governmental Authority to withdraw its approval of any Product, to enjoin or prevent the performance of any LDT or otherwise prevent Borrower or any of its Subsidiaries from performing laboratory services, or to otherwise disrupt the business of the Borrower and the Subsidiaries, in each case, it being understood and agreed that, as of the Closing Date, the Borrower and its Subsidiaries do not have medical device clearances or approvals from the FDA for its LDTs.</w:t>
      </w:r>
    </w:p>
    <w:p>
      <w:pPr>
        <w:spacing w:after="0" w:line="129" w:lineRule="exact"/>
        <w:rPr>
          <w:sz w:val="20"/>
          <w:szCs w:val="20"/>
          <w:color w:val="auto"/>
        </w:rPr>
      </w:pPr>
    </w:p>
    <w:p>
      <w:pPr>
        <w:jc w:val="both"/>
        <w:ind w:left="8" w:firstLine="1094"/>
        <w:spacing w:after="0" w:line="226" w:lineRule="auto"/>
        <w:tabs>
          <w:tab w:leader="none" w:pos="165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all studies, tests and preclinical and clinical trials relating to the Products conducted by or on behalf of the Borrower or any of the Subsidiaries have been conducted, and are currently being conducted, in compliance with all applicable Requirements of Law, including, but not limited to, applicable provisions of the CLIA and the FD&amp;C Act, including applicable GCPs and applicable GLPs, it being understood and agreed that, as of the Closing Date, the Borrower and its Subsidiaries do not have medical device clearances or approvals from the FDA for its LDTs.</w:t>
      </w:r>
    </w:p>
    <w:p>
      <w:pPr>
        <w:spacing w:after="0" w:line="127" w:lineRule="exact"/>
        <w:rPr>
          <w:rFonts w:ascii="Times New Roman" w:cs="Times New Roman" w:eastAsia="Times New Roman" w:hAnsi="Times New Roman"/>
          <w:sz w:val="18"/>
          <w:szCs w:val="18"/>
          <w:color w:val="auto"/>
        </w:rPr>
      </w:pPr>
    </w:p>
    <w:p>
      <w:pPr>
        <w:jc w:val="both"/>
        <w:ind w:left="8" w:firstLine="1094"/>
        <w:spacing w:after="0" w:line="229" w:lineRule="auto"/>
        <w:tabs>
          <w:tab w:leader="none" w:pos="166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untrue statement of fact and no fraudulent statement made by the Borrower or any of the Subsidiaries at the time such statements were made, or to the knowledge of the Borrower, any of their respective agents or representatives (when acting in such capacity) in any filing with the CMS, the FDA or any other Governmental Authority, and there has been no failure to disclose any fact required to be disclosed to any Regulatory Agency, in each case, except where the failure to do so would not reasonably be expected to result in a Material Adverse Effect.</w:t>
      </w:r>
    </w:p>
    <w:p>
      <w:pPr>
        <w:spacing w:after="0" w:line="128" w:lineRule="exact"/>
        <w:rPr>
          <w:rFonts w:ascii="Times New Roman" w:cs="Times New Roman" w:eastAsia="Times New Roman" w:hAnsi="Times New Roman"/>
          <w:sz w:val="18"/>
          <w:szCs w:val="18"/>
          <w:color w:val="auto"/>
        </w:rPr>
      </w:pPr>
    </w:p>
    <w:p>
      <w:pPr>
        <w:jc w:val="both"/>
        <w:ind w:left="8" w:firstLine="1094"/>
        <w:spacing w:after="0" w:line="220" w:lineRule="auto"/>
        <w:tabs>
          <w:tab w:leader="none" w:pos="165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4.34(g)</w:t>
      </w:r>
      <w:r>
        <w:rPr>
          <w:rFonts w:ascii="Times New Roman" w:cs="Times New Roman" w:eastAsia="Times New Roman" w:hAnsi="Times New Roman"/>
          <w:sz w:val="18"/>
          <w:szCs w:val="18"/>
          <w:color w:val="auto"/>
        </w:rPr>
        <w:t xml:space="preserve">, as of the Closing Date (and, except as would not reasonably be expected to result in a Material Adverse Effect, as of each other Credit Date), the Borrower and the Subsidiaries are and, since [***], have been in material compliance with Health Care Laws. Except as set forth on </w:t>
      </w:r>
      <w:r>
        <w:rPr>
          <w:rFonts w:ascii="Times New Roman" w:cs="Times New Roman" w:eastAsia="Times New Roman" w:hAnsi="Times New Roman"/>
          <w:sz w:val="18"/>
          <w:szCs w:val="18"/>
          <w:u w:val="single" w:color="auto"/>
          <w:color w:val="auto"/>
        </w:rPr>
        <w:t>Schedule 4.34(g)</w:t>
      </w:r>
      <w:r>
        <w:rPr>
          <w:rFonts w:ascii="Times New Roman" w:cs="Times New Roman" w:eastAsia="Times New Roman" w:hAnsi="Times New Roman"/>
          <w:sz w:val="18"/>
          <w:szCs w:val="18"/>
          <w:color w:val="auto"/>
        </w:rPr>
        <w:t xml:space="preserve"> and, except as would not reasonably be expected to result in a Material Adverse Effect from</w:t>
      </w:r>
    </w:p>
    <w:p>
      <w:pPr>
        <w:spacing w:after="0" w:line="1" w:lineRule="exact"/>
        <w:rPr>
          <w:rFonts w:ascii="Times New Roman" w:cs="Times New Roman" w:eastAsia="Times New Roman" w:hAnsi="Times New Roman"/>
          <w:sz w:val="18"/>
          <w:szCs w:val="18"/>
          <w:color w:val="auto"/>
        </w:rPr>
      </w:pPr>
    </w:p>
    <w:p>
      <w:pPr>
        <w:jc w:val="both"/>
        <w:ind w:left="8" w:hanging="8"/>
        <w:spacing w:after="0" w:line="213" w:lineRule="auto"/>
        <w:tabs>
          <w:tab w:leader="none" w:pos="46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Closing Date (and, from [***] to each other Credit Date), none of the Borrower or any of the Subsidiaries has received any written notice from the United States Department of Justice, any U.S. Attorney, any State Attorney General, or any other similar Governmental Authority alleging any violation of any such Health Care Laws or Public Health Laws in any material respect. Except as would not reasonably be expected to have a Material Adverse Effect, the Borrower and its Subsidiaries have established and implemented a compliance program designed to ensure compliance with all applicable Health Care Laws. Except as would not reasonably be expected to have a Material Adverse Effect, neither the Borrower nor any Subsidiary</w:t>
      </w:r>
    </w:p>
    <w:p>
      <w:pPr>
        <w:jc w:val="both"/>
        <w:ind w:left="8"/>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 a party to or has any ongoing reporting obligations pursuant to any corporate integrity agreement, deferred or non-prosecution agreement, monitoring agreement, consent decree, settlement order, plan of correction or similar agreement imposed by any Governmental Authority, or (ii) has made any submissions pursuant to the Office of Inspector General’s Self Disclosure Protocol or CMS’s Self-Reporting Disclosure Protocol.</w:t>
      </w:r>
    </w:p>
    <w:p>
      <w:pPr>
        <w:spacing w:after="0" w:line="130" w:lineRule="exact"/>
        <w:rPr>
          <w:rFonts w:ascii="Times New Roman" w:cs="Times New Roman" w:eastAsia="Times New Roman" w:hAnsi="Times New Roman"/>
          <w:sz w:val="18"/>
          <w:szCs w:val="18"/>
          <w:color w:val="auto"/>
        </w:rPr>
      </w:pPr>
    </w:p>
    <w:p>
      <w:pPr>
        <w:jc w:val="both"/>
        <w:ind w:left="8" w:firstLine="1094"/>
        <w:spacing w:after="0" w:line="221" w:lineRule="auto"/>
        <w:tabs>
          <w:tab w:leader="none" w:pos="165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each of the Borrower and its Subsidiaries meets all material requirements and conditions of participation in applicable Federal Health Care Programs, and is a party to valid participation or other agreements required for payment by such programs and other third-party payor program (“</w:t>
      </w:r>
      <w:r>
        <w:rPr>
          <w:rFonts w:ascii="Times New Roman" w:cs="Times New Roman" w:eastAsia="Times New Roman" w:hAnsi="Times New Roman"/>
          <w:sz w:val="18"/>
          <w:szCs w:val="18"/>
          <w:u w:val="single" w:color="auto"/>
          <w:color w:val="auto"/>
        </w:rPr>
        <w:t>Third-Party Payor Program</w:t>
      </w:r>
      <w:r>
        <w:rPr>
          <w:rFonts w:ascii="Times New Roman" w:cs="Times New Roman" w:eastAsia="Times New Roman" w:hAnsi="Times New Roman"/>
          <w:sz w:val="18"/>
          <w:szCs w:val="18"/>
          <w:color w:val="auto"/>
        </w:rPr>
        <w:t>”) agreements (each, a “</w:t>
      </w:r>
      <w:r>
        <w:rPr>
          <w:rFonts w:ascii="Times New Roman" w:cs="Times New Roman" w:eastAsia="Times New Roman" w:hAnsi="Times New Roman"/>
          <w:sz w:val="18"/>
          <w:szCs w:val="18"/>
          <w:u w:val="single" w:color="auto"/>
          <w:color w:val="auto"/>
        </w:rPr>
        <w:t>Third-Party Payor Program Agreement</w:t>
      </w:r>
      <w:r>
        <w:rPr>
          <w:rFonts w:ascii="Times New Roman" w:cs="Times New Roman" w:eastAsia="Times New Roman" w:hAnsi="Times New Roman"/>
          <w:sz w:val="18"/>
          <w:szCs w:val="18"/>
          <w:color w:val="auto"/>
        </w:rPr>
        <w:t xml:space="preserve">”). Except as would not reasonably be expected to have a Material Adverse Effect, (i) there are no suspensions, offsets or recoupments of any Third-Party Payor Program payments or payments pursuant to Third-Party Payor Program Agreements being sought, requested or claimed, or to the Borrower’s knowledge, threatened against the Borrower or any of its Subsidiaries, (ii) except as set forth in </w:t>
      </w:r>
      <w:r>
        <w:rPr>
          <w:rFonts w:ascii="Times New Roman" w:cs="Times New Roman" w:eastAsia="Times New Roman" w:hAnsi="Times New Roman"/>
          <w:sz w:val="18"/>
          <w:szCs w:val="18"/>
          <w:u w:val="single" w:color="auto"/>
          <w:color w:val="auto"/>
        </w:rPr>
        <w:t>Schedule 4.34(h</w:t>
      </w:r>
      <w:r>
        <w:rPr>
          <w:rFonts w:ascii="Times New Roman" w:cs="Times New Roman" w:eastAsia="Times New Roman" w:hAnsi="Times New Roman"/>
          <w:sz w:val="18"/>
          <w:szCs w:val="18"/>
          <w:color w:val="auto"/>
        </w:rPr>
        <w:t>), there are no Adverse Proceedings pending or, to the Borrower’s knowledge, threatened, against the Borrower or any of its Subsidiaries which relates in any way to a violation of any Requirement of Law pertaining to Third-Party Payor Programs or which could result in the imposition of penalties,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ectPr>
          <w:pgSz w:w="11900" w:h="16838" w:orient="portrait"/>
          <w:cols w:equalWidth="0" w:num="1">
            <w:col w:w="11268"/>
          </w:cols>
          <w:pgMar w:left="312" w:top="1207" w:right="319" w:bottom="1440" w:gutter="0" w:footer="0" w:header="0"/>
        </w:sectPr>
      </w:pPr>
    </w:p>
    <w:bookmarkStart w:id="133" w:name="page134"/>
    <w:bookmarkEnd w:id="133"/>
    <w:p>
      <w:pPr>
        <w:jc w:val="both"/>
        <w:spacing w:after="0" w:line="229" w:lineRule="auto"/>
        <w:rPr>
          <w:sz w:val="20"/>
          <w:szCs w:val="20"/>
          <w:color w:val="auto"/>
        </w:rPr>
      </w:pPr>
      <w:r>
        <w:rPr>
          <w:rFonts w:ascii="Times New Roman" w:cs="Times New Roman" w:eastAsia="Times New Roman" w:hAnsi="Times New Roman"/>
          <w:sz w:val="18"/>
          <w:szCs w:val="18"/>
          <w:color w:val="auto"/>
        </w:rPr>
        <w:t>termination or the debarment, suspension or exclusion of the Borrower or any of its Subsidiaries from participation in any Third-Party Payor Programs, and (iii) without limiting the generality of the foregoing, the billing practices of each of Borrower and its Subsidiaries, as applicable, with respect to all patients and Third-Party Payor Programs are and have at all times since [***] been in compliance with all applicable Third-Party Payor Agreements and Health Care Laws.</w:t>
      </w:r>
    </w:p>
    <w:p>
      <w:pPr>
        <w:spacing w:after="0" w:line="129" w:lineRule="exact"/>
        <w:rPr>
          <w:sz w:val="20"/>
          <w:szCs w:val="20"/>
          <w:color w:val="auto"/>
        </w:rPr>
      </w:pPr>
    </w:p>
    <w:p>
      <w:pPr>
        <w:ind w:left="1640" w:hanging="546"/>
        <w:spacing w:after="0"/>
        <w:tabs>
          <w:tab w:leader="none" w:pos="1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60"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4.34(j)</w:t>
      </w:r>
      <w:r>
        <w:rPr>
          <w:rFonts w:ascii="Times New Roman" w:cs="Times New Roman" w:eastAsia="Times New Roman" w:hAnsi="Times New Roman"/>
          <w:sz w:val="18"/>
          <w:szCs w:val="18"/>
          <w:color w:val="auto"/>
        </w:rPr>
        <w:t>, since [***], none of the Borrower, any of the Subsidiaries, or any individual who is an officer, director, manager or employee of the Borrower or any of the Subsidiaries has been convicted of, violation of Health Care Laws or Public Health Laws or been debarred, excluded or suspended from participation in any Federal Health Care Program, except, as of any Credit Date after the Closing Date, for any such individuals who have been promptly terminated by the Borrower or its Subsidiaries following such conviction or charge or as would not reasonably be expected to result in a Material Adverse Effect.</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4.35</w:t>
      </w:r>
      <w:r>
        <w:rPr>
          <w:sz w:val="20"/>
          <w:szCs w:val="20"/>
          <w:color w:val="auto"/>
        </w:rPr>
        <w:tab/>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tabs>
          <w:tab w:leader="none" w:pos="16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in each instance where the Borrower or any Subsidiary acts as a Covered Entity, such entity is, and since [***] has been, in compliance with HIPAA. The Borrower, and each Subsidiary that acts as a Covered Entity, has implemented reasonable and adequate policies, procedures or training designed to assure continued compliance and to detect non-compliance, except where the failure to implement such policies, procedures, and training would not reasonably be expected to have, individually or in the aggregate, a Material Adverse Effect. Except as would not reasonably be expected to have a Material Adverse Effect, the Borrower, and each Subsidiary that acts as a Covered Entity, has provided all requisite notices, obtained all required consents, and satisfied all other requirements for its use and disclosure of Protected Health Information. Except as would not reasonably be expected to have a Material Adverse Effect, the Borrower, and each Subsidiary that acts as a Covered Entity, has entered into business associate agreements with Subsidiaries and Data Processors in all situations where required by HIPAA.</w:t>
      </w:r>
    </w:p>
    <w:p>
      <w:pPr>
        <w:spacing w:after="0" w:line="181"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instance where Borrower or any Subsidiary acts as a Business Associate, such entity has entered into a business associate agreement that is in compliance with HIPAA with each such Covered Entity or Business Associate, as applicable, as required by HIPAA, except where failure to have entered into a business associate agreement would not have a Material Adverse Effect. Except as would not reasonably be expected to have a Material Adverse Effect, in those instances where the Borrower or any Subsidiary acts as a Business Associate on behalf of Covered Entities or Business Associates, each of the Borrower and such Subsidiary is, and has been since [***], in compliance with all applicable business associate agreements and those portions of HIPAA applicable to Business Associates.</w:t>
      </w:r>
    </w:p>
    <w:p>
      <w:pPr>
        <w:spacing w:after="0" w:line="132"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the Borrower, and each Subsidiary that acts as a Covered Entity or Business Associate, has implemented a comprehensive written information security program that complies with HIPAA. Except as would not reasonably be expected to have a Material Adverse Effect, the Borrower, and each Subsidiary that acts as a Covered Entity or Business Associate, have addressed and mitigated all identified threats and deficiencies to the security of Protected Health Information maintained by such entity consistent with HIPAA.</w:t>
      </w:r>
    </w:p>
    <w:p>
      <w:pPr>
        <w:spacing w:after="0" w:line="127" w:lineRule="exact"/>
        <w:rPr>
          <w:rFonts w:ascii="Times New Roman" w:cs="Times New Roman" w:eastAsia="Times New Roman" w:hAnsi="Times New Roman"/>
          <w:sz w:val="18"/>
          <w:szCs w:val="18"/>
          <w:color w:val="auto"/>
        </w:rPr>
      </w:pPr>
    </w:p>
    <w:p>
      <w:pPr>
        <w:ind w:firstLine="1094"/>
        <w:spacing w:after="0" w:line="250" w:lineRule="auto"/>
        <w:tabs>
          <w:tab w:leader="none" w:pos="165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to the knowledge of the Borrower, since [***], there has been no Security Incident of any Protected Health Information held by or on behalf of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ectPr>
          <w:pgSz w:w="11900" w:h="16838" w:orient="portrait"/>
          <w:cols w:equalWidth="0" w:num="1">
            <w:col w:w="11260"/>
          </w:cols>
          <w:pgMar w:left="320" w:top="1207" w:right="319" w:bottom="1440" w:gutter="0" w:footer="0" w:header="0"/>
        </w:sectPr>
      </w:pPr>
    </w:p>
    <w:bookmarkStart w:id="134" w:name="page135"/>
    <w:bookmarkEnd w:id="134"/>
    <w:p>
      <w:pPr>
        <w:jc w:val="both"/>
        <w:spacing w:after="0" w:line="226" w:lineRule="auto"/>
        <w:rPr>
          <w:sz w:val="20"/>
          <w:szCs w:val="20"/>
          <w:color w:val="auto"/>
        </w:rPr>
      </w:pPr>
      <w:r>
        <w:rPr>
          <w:rFonts w:ascii="Times New Roman" w:cs="Times New Roman" w:eastAsia="Times New Roman" w:hAnsi="Times New Roman"/>
          <w:sz w:val="18"/>
          <w:szCs w:val="18"/>
          <w:color w:val="auto"/>
        </w:rPr>
        <w:t>the Borrower or any Subsidiary except as would not reasonably be expected to have a Material Adverse Effect. As of the Closing Date, except as would not reasonably be expected to have a Material Adverse Effect, the Borrower has not, nor has any Subsidiary or other Data Processor with respect to Personal Data processed on behalf of the Borrower or a Subsidiary, notified, or been required to notify, any person of any Security Incident, including any loss or unauthorized access, use or disclosure, of Protected Health Information that would constitute a breach for which notification to individuals, the media, or the U.S. Department of Health and Human Services is required under HIPAA.</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4.36</w:t>
      </w:r>
      <w:r>
        <w:rPr>
          <w:sz w:val="20"/>
          <w:szCs w:val="20"/>
          <w:color w:val="auto"/>
        </w:rPr>
        <w:tab/>
      </w:r>
      <w:r>
        <w:rPr>
          <w:rFonts w:ascii="Times New Roman" w:cs="Times New Roman" w:eastAsia="Times New Roman" w:hAnsi="Times New Roman"/>
          <w:sz w:val="18"/>
          <w:szCs w:val="18"/>
          <w:u w:val="single" w:color="auto"/>
          <w:color w:val="auto"/>
        </w:rPr>
        <w:t>Data Privacy and Information Security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17" w:lineRule="auto"/>
        <w:tabs>
          <w:tab w:leader="none" w:pos="16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and to the Knowledge of the Borrower, the Borrower’s or any Subsidiary’s Data Processors, are, and since [***] have been in compliance with (i) all Privacy Laws, (ii) written and published policies and notices related to privacy, security or the processing or Personal Data (each, a “</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and (iii) Contractual Obligations related to privacy, security or the processing of Personal Data (collectively, the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a Material Adverse Effect. The Borrower and its Subsidiaries maintain Privacy Policies, processes, and controls, all of which are designed to meet any requirements of applicable Privacy Requirements, except as would not reasonably be expected to have a Material Adverse Effect. To the knowledge of the Borrower, none of the Borrower’s or any Subsidiary’s Privacy Policies have been or are misleading or deceptive, including by omission, and the contemplated transactions to be consummated hereunder as of the Closing Date or any other Credit Date will not violate any Privacy Policies or Privacy Requirements, in each case, except as would not reasonably be expected to have a Material Adverse Effect. There is not currently pending, and since [***], there has not been, any action, proceeding, suit or claim against the Borrower or its Subsidiaries with respect to compliance with the Privacy Requirements, except as would not reasonably be expected to have a Material Adverse Effect. Since [***], except as would not reasonably be expected to have a Material Adverse Effect, neither the Borrower nor any Subsidiary has received any written notice, inquiry, request or complaint or, to the knowledge of the Borrower, been the subject of any investigation, in each case, with respect to compliance with the Privacy Requirements. Except as would not reasonably be expected to have a Material Adverse Effect, neither the Borrower, any Subsidiary, nor any Products, nor to the Borrower’s knowledge any Data Processors with respect to Personal Data processed on behalf of the Borrower or any Subsidiary, have experienced, since [***], any Security Incident, which would require notice to any Person pursuant to any Privacy Requirement.</w:t>
      </w:r>
    </w:p>
    <w:p>
      <w:pPr>
        <w:spacing w:after="0" w:line="128"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the Borrower and its Subsidiaries have used commercially reasonable efforts to cause Data Processors that process Personal Data on behalf of the Borrower or any of its Subsidiaries to protect the Personal Data of the Borrower and its Subsidiaries, including without limitation requiring such Data Processors where appropriate based on risk, nature of the Personal Data, and applicable Privacy Requirements to (i) comply with applicable Privacy Laws and (ii) implement a commercially reasonable information security program to protect the applicable Personal Data.</w:t>
      </w:r>
    </w:p>
    <w:p>
      <w:pPr>
        <w:spacing w:after="0" w:line="127"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and each other Credit Date, except as would not reasonably be expected to have a Material Adverse Effect, the IT Assets are sufficient to conduct the business of the Borrower and the Subsidiaries as currently conducted by the Borrower and the Subsidiaries. To the knowledge of the Borrower and except as would not reasonably be expected to have a Material Adverse Effect, neither the IT Assets nor any Products contain any “virus,” “spyware,” “malware,” “worm,” “</w:t>
      </w:r>
      <w:r>
        <w:rPr>
          <w:rFonts w:ascii="Times New Roman" w:cs="Times New Roman" w:eastAsia="Times New Roman" w:hAnsi="Times New Roman"/>
          <w:sz w:val="18"/>
          <w:szCs w:val="18"/>
          <w:u w:val="single" w:color="auto"/>
          <w:color w:val="auto"/>
        </w:rPr>
        <w:t>Trojan horse</w:t>
      </w:r>
      <w:r>
        <w:rPr>
          <w:rFonts w:ascii="Times New Roman" w:cs="Times New Roman" w:eastAsia="Times New Roman" w:hAnsi="Times New Roman"/>
          <w:sz w:val="18"/>
          <w:szCs w:val="18"/>
          <w:color w:val="auto"/>
        </w:rPr>
        <w:t>” (as such terms are commonly understood in the software industry), disabling codes or instructions, or other similar code or software routines or components (collectively,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Except as would not reasonably be expected to have a Material Adverse Effect, the Borrower and its Subsidiaries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ectPr>
          <w:pgSz w:w="11900" w:h="16838" w:orient="portrait"/>
          <w:cols w:equalWidth="0" w:num="1">
            <w:col w:w="11260"/>
          </w:cols>
          <w:pgMar w:left="320" w:top="1207" w:right="319" w:bottom="1440" w:gutter="0" w:footer="0" w:header="0"/>
        </w:sectPr>
      </w:pPr>
    </w:p>
    <w:bookmarkStart w:id="135" w:name="page136"/>
    <w:bookmarkEnd w:id="135"/>
    <w:p>
      <w:pPr>
        <w:ind w:right="20"/>
        <w:spacing w:after="0" w:line="250" w:lineRule="auto"/>
        <w:rPr>
          <w:sz w:val="20"/>
          <w:szCs w:val="20"/>
          <w:color w:val="auto"/>
        </w:rPr>
      </w:pPr>
      <w:r>
        <w:rPr>
          <w:rFonts w:ascii="Times New Roman" w:cs="Times New Roman" w:eastAsia="Times New Roman" w:hAnsi="Times New Roman"/>
          <w:sz w:val="18"/>
          <w:szCs w:val="18"/>
          <w:color w:val="auto"/>
        </w:rPr>
        <w:t>have established, implemented and tested commercially reasonable backup and disaster recovery policies, procedures and systems sufficient to reasonably maintain the operation of the business of the Borrower and the Subsidiaries as currently conducted.</w:t>
      </w:r>
    </w:p>
    <w:p>
      <w:pPr>
        <w:spacing w:after="0" w:line="120" w:lineRule="exact"/>
        <w:rPr>
          <w:sz w:val="20"/>
          <w:szCs w:val="20"/>
          <w:color w:val="auto"/>
        </w:rPr>
      </w:pPr>
    </w:p>
    <w:p>
      <w:pPr>
        <w:jc w:val="both"/>
        <w:ind w:firstLine="1094"/>
        <w:spacing w:after="0" w:line="226" w:lineRule="auto"/>
        <w:tabs>
          <w:tab w:leader="none" w:pos="165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the Borrower, its Subsidiaries and, to the knowledge of the Borrower, any Data Processors, have implemented and maintained commercially reasonable technical measures at a level appropriate for the risk and nature of the data and consistent with applicable Privacy Requirement, to protect the operation, confidentiality, integrity, and security, as applicable, of all Personal Data and Confidential Business Information maintained by or processed by or on behalf of the Borrower or its Subsidiaries, and IT Assets (including, for clarity, all information and transactions stored or contained therein or transmitted thereby) against a Security Incident.</w:t>
      </w:r>
    </w:p>
    <w:p>
      <w:pPr>
        <w:spacing w:after="0" w:line="127"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the Borrower and its Subsidiaries have taken or caused to be taken commercially reasonable actions designed to ensure that all IT Assets (i) are free from any defect, bug, Malicious Code or programming, design or documentation error or corruption or other defect, and (ii) are functional and operate and run in a commercially reasonable manner. Except as would not reasonably be expected to have a Material Adverse Effect, none of the IT Assets have malfunctioned or failed or have experienced any breakdowns or continued substandard performance since [***] that has caused disruption or interruption in the Borrower’s or any Subsidiary’s use thereof or to the business of the Borrower and the Subsidiaries.</w:t>
      </w:r>
    </w:p>
    <w:p>
      <w:pPr>
        <w:spacing w:after="0" w:line="1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V</w:t>
      </w:r>
    </w:p>
    <w:p>
      <w:pPr>
        <w:spacing w:after="0" w:line="1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160" w:lineRule="exact"/>
        <w:rPr>
          <w:sz w:val="20"/>
          <w:szCs w:val="20"/>
          <w:color w:val="auto"/>
        </w:rPr>
      </w:pPr>
    </w:p>
    <w:p>
      <w:pPr>
        <w:jc w:val="both"/>
        <w:ind w:firstLine="1102"/>
        <w:spacing w:after="0" w:line="234" w:lineRule="auto"/>
        <w:rPr>
          <w:sz w:val="20"/>
          <w:szCs w:val="20"/>
          <w:color w:val="auto"/>
        </w:rPr>
      </w:pPr>
      <w:r>
        <w:rPr>
          <w:rFonts w:ascii="Times New Roman" w:cs="Times New Roman" w:eastAsia="Times New Roman" w:hAnsi="Times New Roman"/>
          <w:sz w:val="18"/>
          <w:szCs w:val="18"/>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Unless otherwise provided below, Borrower will deliver to Administrative Agent and</w:t>
      </w: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140" w:lineRule="exact"/>
        <w:rPr>
          <w:sz w:val="20"/>
          <w:szCs w:val="20"/>
          <w:color w:val="auto"/>
        </w:rPr>
      </w:pPr>
    </w:p>
    <w:p>
      <w:pPr>
        <w:ind w:left="1640" w:hanging="54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w:t>
      </w:r>
    </w:p>
    <w:p>
      <w:pPr>
        <w:spacing w:after="0" w:line="127"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with respect thereto; and (ii) with respect to such consolidated financial statements a report thereon of Deloitte &amp; Touche LLP or other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ectPr>
          <w:pgSz w:w="11900" w:h="16838" w:orient="portrait"/>
          <w:cols w:equalWidth="0" w:num="1">
            <w:col w:w="11260"/>
          </w:cols>
          <w:pgMar w:left="320" w:top="1207" w:right="319" w:bottom="1440" w:gutter="0" w:footer="0" w:header="0"/>
        </w:sectPr>
      </w:pPr>
    </w:p>
    <w:bookmarkStart w:id="136" w:name="page137"/>
    <w:bookmarkEnd w:id="136"/>
    <w:p>
      <w:pPr>
        <w:jc w:val="both"/>
        <w:ind w:left="8"/>
        <w:spacing w:after="0" w:line="223" w:lineRule="auto"/>
        <w:rPr>
          <w:sz w:val="20"/>
          <w:szCs w:val="20"/>
          <w:color w:val="auto"/>
        </w:rPr>
      </w:pPr>
      <w:r>
        <w:rPr>
          <w:rFonts w:ascii="Times New Roman" w:cs="Times New Roman" w:eastAsia="Times New Roman" w:hAnsi="Times New Roman"/>
          <w:sz w:val="18"/>
          <w:szCs w:val="18"/>
          <w:color w:val="auto"/>
        </w:rPr>
        <w:t>independent certified public accountants of recognized national standing selected by Borrower or that is otherwise reasonably satisfactory to Administrative Agent, it being understood that other “</w:t>
      </w:r>
      <w:r>
        <w:rPr>
          <w:rFonts w:ascii="Times New Roman" w:cs="Times New Roman" w:eastAsia="Times New Roman" w:hAnsi="Times New Roman"/>
          <w:sz w:val="18"/>
          <w:szCs w:val="18"/>
          <w:u w:val="single" w:color="auto"/>
          <w:color w:val="auto"/>
        </w:rPr>
        <w:t>Big Four</w:t>
      </w:r>
      <w:r>
        <w:rPr>
          <w:rFonts w:ascii="Times New Roman" w:cs="Times New Roman" w:eastAsia="Times New Roman" w:hAnsi="Times New Roman"/>
          <w:sz w:val="18"/>
          <w:szCs w:val="18"/>
          <w:color w:val="auto"/>
        </w:rPr>
        <w:t>” accounting firm is reasonably satisfactory to Administrative Agent (which report shall be unqualified as to going concern and scope of audit (other than with respect to or resulting from (x) an upcoming maturity of Indebtedness under this Agreement), or (y) any potential default or event of default of any financial covenant under this Agreement,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w:t>
      </w:r>
    </w:p>
    <w:p>
      <w:pPr>
        <w:spacing w:after="0" w:line="132" w:lineRule="exact"/>
        <w:rPr>
          <w:sz w:val="20"/>
          <w:szCs w:val="20"/>
          <w:color w:val="auto"/>
        </w:rPr>
      </w:pPr>
    </w:p>
    <w:p>
      <w:pPr>
        <w:jc w:val="both"/>
        <w:ind w:left="8" w:firstLine="1094"/>
        <w:spacing w:after="0"/>
        <w:tabs>
          <w:tab w:leader="none" w:pos="165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Together with each delivery of financial statements of Borrower and its Subsidiaries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a duly executed and completed Compliance Certificate attaching a report of the current Cash and Cash Equivalent balances of the Borrower and the Loan Parties, which report shall identify Qualified Cash as of the last day of the applicable Fiscal Quarter or Fiscal Year, as applicable;</w:t>
      </w:r>
    </w:p>
    <w:p>
      <w:pPr>
        <w:spacing w:after="0" w:line="297" w:lineRule="exact"/>
        <w:rPr>
          <w:rFonts w:ascii="Times New Roman" w:cs="Times New Roman" w:eastAsia="Times New Roman" w:hAnsi="Times New Roman"/>
          <w:sz w:val="18"/>
          <w:szCs w:val="18"/>
          <w:color w:val="auto"/>
        </w:rPr>
      </w:pPr>
    </w:p>
    <w:p>
      <w:pPr>
        <w:jc w:val="both"/>
        <w:ind w:left="8" w:firstLine="1094"/>
        <w:spacing w:after="0" w:line="222" w:lineRule="auto"/>
        <w:tabs>
          <w:tab w:leader="none" w:pos="165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Promptly (but in any event within [***]) upon any Responsible Officer of Borrower obtaining knowledge (i) of any condition or event that constitutes a Default or an Event of Default; or (ii) or that any creditor (or representative thereof) has given any notice to the Borrower or any of its Subsidiaries or taken any other action with respect to any event or condition set forth in Section 8.1(b); or (iii) of the occurrence of any event or change that has caused or evidences or results in, in any case or in the aggregate, a Material Adverse Effect, a certificate of its Authorized Officers specifying the nature and period of existence of such condition, event or change, or specifying the notice given and action taken by any such Person and the nature of such claimed Event of Default, Default, default, event or condition or change, and what action Borrower has taken, is taking and proposes to take with respect thereto;</w:t>
      </w:r>
    </w:p>
    <w:p>
      <w:pPr>
        <w:spacing w:after="0" w:line="126" w:lineRule="exact"/>
        <w:rPr>
          <w:rFonts w:ascii="Times New Roman" w:cs="Times New Roman" w:eastAsia="Times New Roman" w:hAnsi="Times New Roman"/>
          <w:sz w:val="18"/>
          <w:szCs w:val="18"/>
          <w:color w:val="auto"/>
        </w:rPr>
      </w:pPr>
    </w:p>
    <w:p>
      <w:pPr>
        <w:ind w:left="1648" w:hanging="546"/>
        <w:spacing w:after="0"/>
        <w:tabs>
          <w:tab w:leader="none" w:pos="164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Promptly (but in any event within [***]) upon any Responsible Officer of Borrower obtaining knowledge of</w:t>
      </w:r>
    </w:p>
    <w:p>
      <w:pPr>
        <w:jc w:val="both"/>
        <w:ind w:left="8" w:hanging="8"/>
        <w:spacing w:after="0" w:line="223" w:lineRule="auto"/>
        <w:tabs>
          <w:tab w:leader="none" w:pos="2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institution of any Adverse Proceeding or (ii) any material development in any Adverse Proceeding that, in the case of either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relates to the Products, the Owned Intellectual Property Rights, the Licensed Intellectual Property Rights, or the Material Contracts, that would reasonably be expected to result in a Material Adverse Effect or liability to the Borrower and its Subsidiaries in excess of $[***], written notice thereof together with such other information as may be reasonably available to Borrower to enable Lenders and their counsel to evaluate such matters;</w:t>
      </w:r>
    </w:p>
    <w:p>
      <w:pPr>
        <w:spacing w:after="0" w:line="129" w:lineRule="exact"/>
        <w:rPr>
          <w:rFonts w:ascii="Times New Roman" w:cs="Times New Roman" w:eastAsia="Times New Roman" w:hAnsi="Times New Roman"/>
          <w:sz w:val="18"/>
          <w:szCs w:val="18"/>
          <w:color w:val="auto"/>
        </w:rPr>
      </w:pPr>
    </w:p>
    <w:p>
      <w:pPr>
        <w:jc w:val="both"/>
        <w:ind w:left="8" w:firstLine="1094"/>
        <w:spacing w:after="0" w:line="229" w:lineRule="auto"/>
        <w:tabs>
          <w:tab w:leader="none" w:pos="165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(but in any event within [***]) upon becoming aware of the occurrence of or forthcoming occurrence of any ERISA Event that would reasonably be expected to result in a Material Adverse Effect,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128" w:lineRule="exact"/>
        <w:rPr>
          <w:rFonts w:ascii="Times New Roman" w:cs="Times New Roman" w:eastAsia="Times New Roman" w:hAnsi="Times New Roman"/>
          <w:sz w:val="18"/>
          <w:szCs w:val="18"/>
          <w:color w:val="auto"/>
        </w:rPr>
      </w:pPr>
    </w:p>
    <w:p>
      <w:pPr>
        <w:jc w:val="both"/>
        <w:ind w:left="8" w:firstLine="1094"/>
        <w:spacing w:after="0" w:line="223" w:lineRule="auto"/>
        <w:tabs>
          <w:tab w:leader="none" w:pos="165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and Product Notices</w:t>
      </w:r>
      <w:r>
        <w:rPr>
          <w:rFonts w:ascii="Times New Roman" w:cs="Times New Roman" w:eastAsia="Times New Roman" w:hAnsi="Times New Roman"/>
          <w:sz w:val="18"/>
          <w:szCs w:val="18"/>
          <w:color w:val="auto"/>
        </w:rPr>
        <w:t>. Promptly (or, in the case of updates to previously disclosed matters under this clause (h), promptly upon request by the Administrative Agent) (but in any event within [***]), after receipt thereof, copies of all subpoenas, requests for information and other written notices regarding any active or potential investigation of, or claim or litigation against, the Borrower or any of the Subsidiaries by any Governmental Authority, and the results of any inspections of any manufacturing facilities of the Borrower or any of the Subsidiaries or, where the results are actually known by the Borrower, any Third Party suppliers of the Borrower or any of the Subsidiaries, and can be disclosed, by any Governmental Authority (including any Form FDA 483s), in each case, to the extent that such investigation, claim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ectPr>
          <w:pgSz w:w="11900" w:h="16838" w:orient="portrait"/>
          <w:cols w:equalWidth="0" w:num="1">
            <w:col w:w="11268"/>
          </w:cols>
          <w:pgMar w:left="312" w:top="1207" w:right="319" w:bottom="1440" w:gutter="0" w:footer="0" w:header="0"/>
        </w:sectPr>
      </w:pPr>
    </w:p>
    <w:bookmarkStart w:id="137" w:name="page138"/>
    <w:bookmarkEnd w:id="137"/>
    <w:p>
      <w:pPr>
        <w:spacing w:after="0" w:line="250" w:lineRule="auto"/>
        <w:rPr>
          <w:sz w:val="20"/>
          <w:szCs w:val="20"/>
          <w:color w:val="auto"/>
        </w:rPr>
      </w:pPr>
      <w:r>
        <w:rPr>
          <w:rFonts w:ascii="Times New Roman" w:cs="Times New Roman" w:eastAsia="Times New Roman" w:hAnsi="Times New Roman"/>
          <w:sz w:val="18"/>
          <w:szCs w:val="18"/>
          <w:color w:val="auto"/>
        </w:rPr>
        <w:t>litigation, or the results of any such inspection, would reasonably be expected to result in liability in excess of $[***] or have or result in a Material Adverse Effect;</w:t>
      </w:r>
    </w:p>
    <w:p>
      <w:pPr>
        <w:spacing w:after="0" w:line="120" w:lineRule="exact"/>
        <w:rPr>
          <w:sz w:val="20"/>
          <w:szCs w:val="20"/>
          <w:color w:val="auto"/>
        </w:rPr>
      </w:pPr>
    </w:p>
    <w:p>
      <w:pPr>
        <w:jc w:val="both"/>
        <w:ind w:firstLine="1094"/>
        <w:spacing w:after="0" w:line="229" w:lineRule="auto"/>
        <w:tabs>
          <w:tab w:leader="none" w:pos="1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 Notifications</w:t>
      </w:r>
      <w:r>
        <w:rPr>
          <w:rFonts w:ascii="Times New Roman" w:cs="Times New Roman" w:eastAsia="Times New Roman" w:hAnsi="Times New Roman"/>
          <w:sz w:val="18"/>
          <w:szCs w:val="18"/>
          <w:color w:val="auto"/>
        </w:rPr>
        <w:t>. Promptly notify the Administrative Agent as soon as possible (but in any event within [***]) [***] of a notification by the FDA, or any comparable foreign Governmental Authority, that a Product that is an LDT must affirmatively be approved or cleared as a medical device to continue to be marketed, and is not subject to an exercise of enforcement discretion, it being understood and agreed that, as of the Closing Date, the Borrower and its Subsidiaries do not have medical device clearances or approvals from the FDA for its LDTs.</w:t>
      </w:r>
    </w:p>
    <w:p>
      <w:pPr>
        <w:spacing w:after="0" w:line="128" w:lineRule="exact"/>
        <w:rPr>
          <w:rFonts w:ascii="Times New Roman" w:cs="Times New Roman" w:eastAsia="Times New Roman" w:hAnsi="Times New Roman"/>
          <w:sz w:val="18"/>
          <w:szCs w:val="18"/>
          <w:color w:val="auto"/>
        </w:rPr>
      </w:pPr>
    </w:p>
    <w:p>
      <w:pPr>
        <w:ind w:right="20" w:firstLine="1094"/>
        <w:spacing w:after="0" w:line="250" w:lineRule="auto"/>
        <w:tabs>
          <w:tab w:leader="none" w:pos="1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Regarding Material Contracts</w:t>
      </w:r>
      <w:r>
        <w:rPr>
          <w:rFonts w:ascii="Times New Roman" w:cs="Times New Roman" w:eastAsia="Times New Roman" w:hAnsi="Times New Roman"/>
          <w:sz w:val="18"/>
          <w:szCs w:val="18"/>
          <w:color w:val="auto"/>
        </w:rPr>
        <w:t>. Promptly (but in any event within [***]) after a Loan Party or a Subsidiary of a Loan Party receives any written notice of default or an event of default under any Material Contract.</w:t>
      </w:r>
    </w:p>
    <w:p>
      <w:pPr>
        <w:spacing w:after="0" w:line="119"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relating to Intellectual Property</w:t>
      </w:r>
      <w:r>
        <w:rPr>
          <w:rFonts w:ascii="Times New Roman" w:cs="Times New Roman" w:eastAsia="Times New Roman" w:hAnsi="Times New Roman"/>
          <w:sz w:val="18"/>
          <w:szCs w:val="18"/>
          <w:color w:val="auto"/>
        </w:rPr>
        <w:t>. Concurrently with the delivery of each Compliance Certificate, Borrower will notify the Administrative Agent, to the extent permitted under any obligations of confidentiality owed to Third Parties, of any material occurrences during the applicable Fiscal Quarter with respect to any Owned Intellectual Property or Licensed Intellectual Property of which Borrower gains knowledge, including claims of invalidity or unenforceability made by a Third Party.</w:t>
      </w:r>
    </w:p>
    <w:p>
      <w:pPr>
        <w:spacing w:after="0" w:line="128" w:lineRule="exact"/>
        <w:rPr>
          <w:rFonts w:ascii="Times New Roman" w:cs="Times New Roman" w:eastAsia="Times New Roman" w:hAnsi="Times New Roman"/>
          <w:sz w:val="18"/>
          <w:szCs w:val="18"/>
          <w:color w:val="auto"/>
        </w:rPr>
      </w:pPr>
    </w:p>
    <w:p>
      <w:pPr>
        <w:ind w:right="20" w:firstLine="1094"/>
        <w:spacing w:after="0" w:line="250" w:lineRule="auto"/>
        <w:tabs>
          <w:tab w:leader="none" w:pos="1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Material Regulatory Liability</w:t>
      </w:r>
      <w:r>
        <w:rPr>
          <w:rFonts w:ascii="Times New Roman" w:cs="Times New Roman" w:eastAsia="Times New Roman" w:hAnsi="Times New Roman"/>
          <w:sz w:val="18"/>
          <w:szCs w:val="18"/>
          <w:color w:val="auto"/>
        </w:rPr>
        <w:t>. Promptly notify the Administrative Agent as soon as possible (but in any event within [***]) [***] of any Material Regulatory Liability.</w:t>
      </w:r>
    </w:p>
    <w:p>
      <w:pPr>
        <w:spacing w:after="0" w:line="119" w:lineRule="exact"/>
        <w:rPr>
          <w:rFonts w:ascii="Times New Roman" w:cs="Times New Roman" w:eastAsia="Times New Roman" w:hAnsi="Times New Roman"/>
          <w:sz w:val="18"/>
          <w:szCs w:val="18"/>
          <w:color w:val="auto"/>
        </w:rPr>
      </w:pPr>
    </w:p>
    <w:p>
      <w:pPr>
        <w:jc w:val="both"/>
        <w:ind w:firstLine="1094"/>
        <w:spacing w:after="0" w:line="222" w:lineRule="auto"/>
        <w:tabs>
          <w:tab w:leader="none" w:pos="1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Borrower will furnish to Administrative Agent prior written notice of any change (a) in any Loan Party’s legal name, (b) in any Loan Party’s chief executive office or fiscal year, (c) in any Loan Party’s jurisdiction of organization or (d) in any Loan Party’s U.S. federal or other taxpayer identification number (if any). Borrower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Borrower also agrees promptly to notify Administrative Agent if any material portion of the Collateral is damaged or destroyed;</w:t>
      </w:r>
    </w:p>
    <w:p>
      <w:pPr>
        <w:spacing w:after="0" w:line="12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Perfection Certificate Updates</w:t>
      </w:r>
      <w:r>
        <w:rPr>
          <w:rFonts w:ascii="Times New Roman" w:cs="Times New Roman" w:eastAsia="Times New Roman" w:hAnsi="Times New Roman"/>
          <w:sz w:val="18"/>
          <w:szCs w:val="18"/>
          <w:color w:val="auto"/>
        </w:rPr>
        <w:t xml:space="preserve">. Each year, at the time of delivery of annual financial statements with respect to the preceding Fiscal Year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Borrower shall deliver to Administrative Agent an updated Perfection Certificate (or confirming that there has been no change in such information since the previously delivered Perfection Certificate);</w:t>
      </w:r>
    </w:p>
    <w:p>
      <w:pPr>
        <w:spacing w:after="0" w:line="12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Promptly after the approval thereof by Borrower’s Board of Directors, and in any event within [***] after the end of each fiscal year, any financial, business and any other projections of Borrower and its Subsidiaries (and upon the reasonable request of Administrative Agent, budgets, operating plans and other financial information) that, in each case, have been approved by Borrower’s Board of Directors; and;</w:t>
      </w:r>
    </w:p>
    <w:p>
      <w:pPr>
        <w:spacing w:after="0" w:line="12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Borrower shall provide (i) promptly upon their becoming available and in any event within [***] of Borrower’s receipt thereof, copies of all material amendments, waivers, consents, notices of defaults and reservations of rights with respect to and received by Borrower or its Subsidiaries from any holder of its Indebtedness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ectPr>
          <w:pgSz w:w="11900" w:h="16838" w:orient="portrait"/>
          <w:cols w:equalWidth="0" w:num="1">
            <w:col w:w="11260"/>
          </w:cols>
          <w:pgMar w:left="320" w:top="1207" w:right="319" w:bottom="1440" w:gutter="0" w:footer="0" w:header="0"/>
        </w:sectPr>
      </w:pPr>
    </w:p>
    <w:bookmarkStart w:id="138" w:name="page139"/>
    <w:bookmarkEnd w:id="138"/>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having a principal amount greater than (A) in the case of Indebtedness for borrowed money, $[***] and (B) in the case of other Indebtedness, $[***], (ii) such other information and data with respect to Borrower or any of its Subsidiaries as from time to time may be reasonably requested by Administrative Agent.</w:t>
      </w:r>
    </w:p>
    <w:p>
      <w:pPr>
        <w:spacing w:after="0" w:line="129" w:lineRule="exact"/>
        <w:rPr>
          <w:sz w:val="20"/>
          <w:szCs w:val="20"/>
          <w:color w:val="auto"/>
        </w:rPr>
      </w:pPr>
    </w:p>
    <w:p>
      <w:pPr>
        <w:jc w:val="both"/>
        <w:ind w:firstLine="1102"/>
        <w:spacing w:after="0" w:line="223"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(b) and (c)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satisfied with respect to financial information of Borrower and its Subsidiaries by publicly filing Borrower’s Form 10-K or 10-Q, as applicable, with the SEC. Further, notwithstanding anything to the contrary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neither the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 client or similar privilege or constitutes attorney work product, in each case based on the advice of counsel to Borrower.</w:t>
      </w:r>
    </w:p>
    <w:p>
      <w:pPr>
        <w:spacing w:after="0" w:line="132"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each Loan Party will, and will cause each of Borrower’s Subsidiaries (other than any Subsidiary that is an “Excluded Subsidiary” under clause (d) or (f) of the definition thereof) to, at all times preserve and keep in full force and effect its existence in its jurisdiction of organization and each other jurisdiction in which it is qualified to do business other than any such jurisdiction (other than its jurisdiction of organization) where the failure to do so would not reasonably be expected to result in a Material Adverse Effect.</w:t>
      </w:r>
    </w:p>
    <w:p>
      <w:pPr>
        <w:spacing w:after="0" w:line="274" w:lineRule="exact"/>
        <w:rPr>
          <w:sz w:val="20"/>
          <w:szCs w:val="20"/>
          <w:color w:val="auto"/>
        </w:rPr>
      </w:pPr>
    </w:p>
    <w:p>
      <w:pPr>
        <w:jc w:val="both"/>
        <w:ind w:firstLine="551"/>
        <w:spacing w:after="0" w:line="219"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Payment of Taxes and Claims</w:t>
      </w:r>
      <w:r>
        <w:rPr>
          <w:rFonts w:ascii="Times New Roman" w:cs="Times New Roman" w:eastAsia="Times New Roman" w:hAnsi="Times New Roman"/>
          <w:sz w:val="18"/>
          <w:szCs w:val="18"/>
          <w:color w:val="auto"/>
        </w:rPr>
        <w:t>. Each Loan Party will, and will cause each of Borrower’s Subsidiaries to, file all income and other material Tax returns required to be filed by or with respect to Borrower or any of its Subsidiaries and timely pay all income or other material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provided, no such Tax or claim need be paid, or Tax return need be filed: (x)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that has or may become a Lien against any of the Collateral, such contest proceedings conclusively operate to stay imposition of any penalty, fine or Lien resulting from the non-payment thereof, or (y) the failure to do so would not, individually or in the aggregate, reasonably be expected to result in a Material Adverse Effect.</w:t>
      </w:r>
    </w:p>
    <w:p>
      <w:pPr>
        <w:spacing w:after="0" w:line="132"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3" w:lineRule="auto"/>
        <w:tabs>
          <w:tab w:leader="none" w:pos="16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and will cause each of Borrower’s Subsidiaries to (a) maintain or 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would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would not reasonably be expected to have a Material Adverse Effect.</w:t>
      </w:r>
    </w:p>
    <w:p>
      <w:pPr>
        <w:spacing w:after="0" w:line="132" w:lineRule="exact"/>
        <w:rPr>
          <w:rFonts w:ascii="Times New Roman" w:cs="Times New Roman" w:eastAsia="Times New Roman" w:hAnsi="Times New Roman"/>
          <w:sz w:val="18"/>
          <w:szCs w:val="18"/>
          <w:color w:val="auto"/>
        </w:rPr>
      </w:pPr>
    </w:p>
    <w:p>
      <w:pPr>
        <w:ind w:right="20" w:firstLine="1094"/>
        <w:spacing w:after="0" w:line="250" w:lineRule="auto"/>
        <w:tabs>
          <w:tab w:leader="none" w:pos="16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each of the Subsidiaries will (x) pursue the prosecution of and pay all costs and expenses relating, to all Patents included in the Owned Intellectual Property and in the Licensed Intellectual Property for which the Borrower or 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w:t>
      </w:r>
    </w:p>
    <w:p>
      <w:pPr>
        <w:sectPr>
          <w:pgSz w:w="11900" w:h="16838" w:orient="portrait"/>
          <w:cols w:equalWidth="0" w:num="1">
            <w:col w:w="11260"/>
          </w:cols>
          <w:pgMar w:left="320" w:top="1207" w:right="319" w:bottom="1440" w:gutter="0" w:footer="0" w:header="0"/>
        </w:sectPr>
      </w:pPr>
    </w:p>
    <w:bookmarkStart w:id="139" w:name="page140"/>
    <w:bookmarkEnd w:id="139"/>
    <w:p>
      <w:pPr>
        <w:jc w:val="both"/>
        <w:spacing w:after="0"/>
        <w:rPr>
          <w:sz w:val="20"/>
          <w:szCs w:val="20"/>
          <w:color w:val="auto"/>
        </w:rPr>
      </w:pPr>
      <w:r>
        <w:rPr>
          <w:rFonts w:ascii="Times New Roman" w:cs="Times New Roman" w:eastAsia="Times New Roman" w:hAnsi="Times New Roman"/>
          <w:sz w:val="18"/>
          <w:szCs w:val="18"/>
          <w:color w:val="auto"/>
        </w:rPr>
        <w:t>Subsidiary controls the right to prosecute and maintain, except in the case of each of the foregoing in the event that the Borrower or any of the Subsidiaries determines in its reasonable commercial judgment not to do so, or except where the failure to do so would not reasonably be expected to have a Material Adverse Effect; and (y) use commercially reasonable efforts to pursue and maintain in full force and effect legal protection for, defend, and protect against Infringement with respect to, all Patents included in the Owned Intellectual Property and in the Licensed Intellectual Property for which Borrower or any Subsidiary has the right to prosecute, maintain, defend, or enforce, except in the event that the Borrower or any of the Subsidiaries determines in its reasonable commercial judgment not to do so, or except where the failure to do so would not reasonably be expected to have a Material Adverse Effect.</w:t>
      </w:r>
    </w:p>
    <w:p>
      <w:pPr>
        <w:spacing w:after="0" w:line="2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32" w:lineRule="auto"/>
        <w:tabs>
          <w:tab w:leader="none" w:pos="16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will maintain or cause to be maintained, with financially sound and reputable insurers, (i) business interruption insurance,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(1) 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 prior written notice to Borrower, arrange for such insurance, but at Borrower’s expense and without any responsibility on Administrative Agent’s part for obtaining the insurance, the solvency of the insurance companies, the adequacy of the coverage, or the collection of claims. Upon the occurrence and during the continuance of an Event of Default, following notice to the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38"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insurance policies required to be maintained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provide for at least [***] prior written notice to Administrative Agent of the cancellation or substantial modification thereof. Receipt of such notice shall entitle Administrative Agent (but Administrative Agent shall not be obligated), upon [***] prior written notice to Loan Parties, to renew any such policies, cause the coverages and amounts thereof to be maintained at levels required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otherwise to obtain similar insurance (including with respect to coverage types, limits and premiums) in place of such policies, in each case at the expense of the Loan Parties.</w:t>
      </w:r>
    </w:p>
    <w:p>
      <w:pPr>
        <w:spacing w:after="0" w:line="128"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Books and Records; Inspections</w:t>
      </w:r>
      <w:r>
        <w:rPr>
          <w:rFonts w:ascii="Times New Roman" w:cs="Times New Roman" w:eastAsia="Times New Roman" w:hAnsi="Times New Roman"/>
          <w:sz w:val="18"/>
          <w:szCs w:val="18"/>
          <w:color w:val="auto"/>
        </w:rPr>
        <w:t>. Each Loan Party will, and will cause each of Borrower’s Subsidiaries to, (a) keep adequate books of record and account in which full, true and correct entries in all material respects are made of all dealings and transactions in relation to its business and activities, and (b)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ectPr>
          <w:pgSz w:w="11900" w:h="16838" w:orient="portrait"/>
          <w:cols w:equalWidth="0" w:num="1">
            <w:col w:w="11260"/>
          </w:cols>
          <w:pgMar w:left="320" w:top="1207" w:right="319" w:bottom="1440" w:gutter="0" w:footer="0" w:header="0"/>
        </w:sectPr>
      </w:pPr>
    </w:p>
    <w:bookmarkStart w:id="140" w:name="page141"/>
    <w:bookmarkEnd w:id="140"/>
    <w:p>
      <w:pPr>
        <w:jc w:val="both"/>
        <w:spacing w:after="0" w:line="226" w:lineRule="auto"/>
        <w:rPr>
          <w:sz w:val="20"/>
          <w:szCs w:val="20"/>
          <w:color w:val="auto"/>
        </w:rPr>
      </w:pPr>
      <w:r>
        <w:rPr>
          <w:rFonts w:ascii="Times New Roman" w:cs="Times New Roman" w:eastAsia="Times New Roman" w:hAnsi="Times New Roman"/>
          <w:sz w:val="18"/>
          <w:szCs w:val="18"/>
          <w:color w:val="auto"/>
        </w:rPr>
        <w:t>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provided that, absent the occurrence and continuance of an Event of Default, Administrative Agent and Lenders shall not exercise such rights more often than [***] during any Fiscal Year. The Loan Parties agree to pay the reasonable and documented out-of-pocket costs and expenses incurred by the examiner in connection therewith.</w:t>
      </w:r>
    </w:p>
    <w:p>
      <w:pPr>
        <w:spacing w:after="0" w:line="128"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Lender Calls</w:t>
      </w:r>
      <w:r>
        <w:rPr>
          <w:rFonts w:ascii="Times New Roman" w:cs="Times New Roman" w:eastAsia="Times New Roman" w:hAnsi="Times New Roman"/>
          <w:sz w:val="18"/>
          <w:szCs w:val="18"/>
          <w:color w:val="auto"/>
        </w:rPr>
        <w:t>. Borrower shall, upon the request by Administrative Agent, cause its chief financial officer or other Authorized Officers reasonably requested by Administrative Agent to participate in a conference call with Administrative Agent and all Lenders who choose to participate in such conference call, during which conference call the chief financial officer or such Authorized Officer (as applicable) shall review the financial condition of Borrower and its Subsidiaries and such other matters as Administrative Agent or any Lender may reasonably request; provided that such calls shall not occur more than [***] per calendar quarter.</w:t>
      </w:r>
    </w:p>
    <w:p>
      <w:pPr>
        <w:spacing w:after="0" w:line="128"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With respect to the Products, each of the Borrower and each of the Subsidiaries will comply with all Requirements of Law, except where the failure to do so would not reasonably be expected to have a Material Adverse Effect.</w:t>
      </w:r>
    </w:p>
    <w:p>
      <w:pPr>
        <w:spacing w:after="0" w:line="12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3" w:lineRule="auto"/>
        <w:tabs>
          <w:tab w:leader="none" w:pos="16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(i) keep its real property free of any Environmental Liens; (ii) maintain and comply in all material respects with all Governmental Authorizations required under applicable Environmental Laws, except as any such failure would not reasonably be expected to result in a Material Adverse Effect; (iii) take all steps to prevent any Release of Hazardous Materials from any property owned or operated by any Loan Party, except as any such failure would not reasonably be expected to result in a Material Adverse Effect; and (iv) ensure that there are no Hazardous Materials on, at or migrating from any property owned or operated by any Loan Party in violation of applicable Environmental Laws, except as any such failure would not reasonably be expected to result in a Material Adverse Effect.</w:t>
      </w:r>
    </w:p>
    <w:p>
      <w:pPr>
        <w:spacing w:after="0" w:line="132"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promptly (but in any event within [***]) (i) notify Administrative Agent in writing (A) of any material Environmental Claims asserted in writing against or material Environmental Liabilities and Costs of any Loan Party, and (B) of any written notice of Environmental Lien filed against its real property, and (ii) provide such other documents and information as reasonably requested by Administrative Agent in relation to any matter pursuant to this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firstLine="551"/>
        <w:spacing w:after="0" w:line="219"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In the event that (x) any Subsidiary of a Loan Party ceases to be an Excluded Subsidiary or (y) any Person becomes a Subsidiary of a Loan Party and such Person is not an Excluded Subsidiary, Borrower, in each case, shall (a) within [***] (or such longer period as Administrative Agent may agree in writing) of such Person becoming a Subsidiary or ceasing to be an Excluded Subsidiary, cause such Subsidiary to become a Guarantor hereunder and a Grantor under the Pledge and Security Agreement by executing and delivering to Administrative Agent a Counterpart Agreement, and (b) 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18"/>
          <w:szCs w:val="18"/>
          <w:u w:val="single" w:color="auto"/>
          <w:color w:val="auto"/>
        </w:rPr>
        <w:t>Sections 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3.1(e)</w:t>
      </w:r>
      <w:r>
        <w:rPr>
          <w:rFonts w:ascii="Times New Roman" w:cs="Times New Roman" w:eastAsia="Times New Roman" w:hAnsi="Times New Roman"/>
          <w:sz w:val="18"/>
          <w:szCs w:val="18"/>
          <w:color w:val="auto"/>
        </w:rPr>
        <w:t xml:space="preserve">, and, if reasonably requested by the Administrative Agent, 3.1(h). With respect to each such Subsidiary, Borrower shall promptly send to Administrative Agent written notice setting forth with respect to such Person (i) the date on which such Person became a Subsidiary of Borrower or ceased to be an Excluded Subsidiary, and (ii) all of the data required to be set forth in </w:t>
      </w:r>
      <w:r>
        <w:rPr>
          <w:rFonts w:ascii="Times New Roman" w:cs="Times New Roman" w:eastAsia="Times New Roman" w:hAnsi="Times New Roman"/>
          <w:sz w:val="18"/>
          <w:szCs w:val="18"/>
          <w:u w:val="single" w:color="auto"/>
          <w:color w:val="auto"/>
        </w:rPr>
        <w:t>Schedules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with respect to all Subsidiaries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written notice shall be deemed to supplement </w:t>
      </w:r>
      <w:r>
        <w:rPr>
          <w:rFonts w:ascii="Times New Roman" w:cs="Times New Roman" w:eastAsia="Times New Roman" w:hAnsi="Times New Roman"/>
          <w:sz w:val="18"/>
          <w:szCs w:val="18"/>
          <w:u w:val="single" w:color="auto"/>
          <w:color w:val="auto"/>
        </w:rPr>
        <w:t>Schedules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for all purposes hereof. In addition, (x) at the election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1260"/>
          </w:cols>
          <w:pgMar w:left="320" w:top="1207" w:right="319" w:bottom="1440" w:gutter="0" w:footer="0" w:header="0"/>
        </w:sectPr>
      </w:pPr>
    </w:p>
    <w:bookmarkStart w:id="141" w:name="page142"/>
    <w:bookmarkEnd w:id="141"/>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Borrower, any Excluded Subsidiary of Borrower may become a Guarantor hereunder, at which time such Subsidiary shall cease to be an Excluded Subsidiary and (y) Subsidiaries may be excluded from the requirements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for the avoidance of doubt, will not otherwise be required to become a Guarantor hereunder or otherwise) in circumstances where the Required Lenders and the Borrower reasonably agree that the cost of providing such a Guarantee is excessive in relation to the value afforded thereby.</w:t>
      </w:r>
    </w:p>
    <w:p>
      <w:pPr>
        <w:spacing w:after="0" w:line="129" w:lineRule="exact"/>
        <w:rPr>
          <w:sz w:val="20"/>
          <w:szCs w:val="20"/>
          <w:color w:val="auto"/>
        </w:rPr>
      </w:pPr>
    </w:p>
    <w:p>
      <w:pPr>
        <w:jc w:val="both"/>
        <w:ind w:firstLine="1102"/>
        <w:spacing w:after="0" w:line="220" w:lineRule="auto"/>
        <w:rPr>
          <w:sz w:val="20"/>
          <w:szCs w:val="20"/>
          <w:color w:val="auto"/>
        </w:rPr>
      </w:pPr>
      <w:r>
        <w:rPr>
          <w:rFonts w:ascii="Times New Roman" w:cs="Times New Roman" w:eastAsia="Times New Roman" w:hAnsi="Times New Roman"/>
          <w:sz w:val="18"/>
          <w:szCs w:val="18"/>
          <w:color w:val="auto"/>
        </w:rPr>
        <w:t>Notwithstanding anything herein or in any other Loan Document to the contrary, subject to any applicable requirements of law, each Foreign Subsidiary that is required to become a Loan Party hereunder will take any and all actions under local law equivalents to create or perfect the security interest in the Collateral for the benefit of the Secured Parties (a) to the same extent as would be required of a U.S. domestic Subsidiary or (b) as otherwise required to create or perfect the security interest for the benefit of the Secured Parties in any Collateral that constitutes Patents, Trademarks or Copyrights that are issued, registered or pending with any Governmental Authority in the applicable Foreign Subsidiary’s country of organization, in each case of (a) and (b), with such modifications as may be reasonably agreed between the Borrower and the Administrative Agent, taking into account customary actions under the jurisdiction of such Foreign Subsidiary and the burden or cost (including any adverse tax consequences to the Borrower or any of its Subsidiaries, which are not de minimis) of providing a pledge thereof or a security interest therein compared to the benefits to be obtained by the Lenders therefrom, including by taking into account the overall collateral package and the amount of the Loans.</w:t>
      </w:r>
    </w:p>
    <w:p>
      <w:pPr>
        <w:spacing w:after="0" w:line="13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8"/>
          <w:szCs w:val="18"/>
          <w:u w:val="single" w:color="auto"/>
          <w:color w:val="auto"/>
        </w:rPr>
        <w:t>Real Estate Assets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8" w:lineRule="auto"/>
        <w:tabs>
          <w:tab w:leader="none" w:pos="16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Loan Party acquires fee title to Material Real Property during the term of this Loan, Borrower shall send to Administrative Agent a written notice of the occurrence of any such event promptly upon the occurrence of same. Within [***] after the acquisition of any such Material Real Property (or such later time as agreed to by Administrative Agent in its sole discretion), such Loan Party shall deliver to Administrative Agent: (a) a fully executed and notarized Mortgage, in proper form for creating a valid and enforceable lien on the Real Property described therein once recorded in the appropriate real estate records and in proper form for recording in such real estate records; (b) an opinion of counsel in the jurisdiction in which such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from a title company reasonably satisfactory to Administrative Agent (the “</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in an amount not less than the fair market value of such Real Estate Asset, together with a title report issued by the Title Company with respect thereto and copies of all recorded documents listed as exceptions to title or otherwise referred to therein, which Title Policy shall be effective as of the date of the Mortgage and otherwise be in 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Real Property in the appropriate real estate records; (d) to the extent required by law, evidence of flood insurance with respect to such Real Property in compliance with any applicable regulations of the Board of Governors of the Federal Reserve System, and in form and substance reasonably satisfactory to Administrative Agent; and (e) an ALTA/NSPS survey of such Real Property in form sufficient to permit the Title Company to issue the Title Policy in the form required by Administrative Agent and otherwise in form and substance satisfactory to Administrative Agent. In addition to the foregoing, Borrower shall, at the request of Required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1260"/>
          </w:cols>
          <w:pgMar w:left="320" w:top="1207" w:right="319" w:bottom="1440" w:gutter="0" w:footer="0" w:header="0"/>
        </w:sectPr>
      </w:pPr>
    </w:p>
    <w:bookmarkStart w:id="142" w:name="page143"/>
    <w:bookmarkEnd w:id="142"/>
    <w:p>
      <w:pPr>
        <w:ind w:right="20"/>
        <w:spacing w:after="0" w:line="250" w:lineRule="auto"/>
        <w:rPr>
          <w:sz w:val="20"/>
          <w:szCs w:val="20"/>
          <w:color w:val="auto"/>
        </w:rPr>
      </w:pPr>
      <w:r>
        <w:rPr>
          <w:rFonts w:ascii="Times New Roman" w:cs="Times New Roman" w:eastAsia="Times New Roman" w:hAnsi="Times New Roman"/>
          <w:sz w:val="18"/>
          <w:szCs w:val="18"/>
          <w:color w:val="auto"/>
        </w:rPr>
        <w:t>Lenders, deliver to Administrative Agent an appraisal of such Material Real Property to verify the amount of the Mortgage or Title Policy, but only if required by applicable law or regulation.</w:t>
      </w:r>
    </w:p>
    <w:p>
      <w:pPr>
        <w:spacing w:after="0" w:line="120" w:lineRule="exact"/>
        <w:rPr>
          <w:sz w:val="20"/>
          <w:szCs w:val="20"/>
          <w:color w:val="auto"/>
        </w:rPr>
      </w:pPr>
    </w:p>
    <w:p>
      <w:pPr>
        <w:jc w:val="both"/>
        <w:ind w:firstLine="1094"/>
        <w:spacing w:after="0" w:line="229" w:lineRule="auto"/>
        <w:tabs>
          <w:tab w:leader="none" w:pos="16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 acquired after the Closing Date, the Borrower or its applicable Subsidiary shall use commercially reasonable efforts (with it being understood that the use of such commercially reasonable efforts shall not require the Borrower or any Subsidiary to pay any additional rent, fees or other amounts to an applicable landlord or bailee to procure any such Collateral Access Agreement) to deliver a Collateral Access Agreement with respect to such [***] within [***] of the acquisition thereof (or such later date as the Administrative Agent may determine).</w:t>
      </w:r>
    </w:p>
    <w:p>
      <w:pPr>
        <w:spacing w:after="0" w:line="129"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At any time or from time to time upon the reasonable request of Administrative Agent, each Loan Party 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In furtherance and not in limitation of the foregoing, each Loan Party shall (i) take such actions as Administrative Agent may reasonably request from time to time to ensure that the Obligations are guarantied by the Guarantors and are secured by the Collateral and (ii) to the extent any aircraft (including any related engines and airframes) are part of the Collateral, make all filings with the Federal Aviation Administration with respect thereto that are necessary or that the Administrative Agent reasonably requests to perfect the Administrative Agent’s Lien in such aircraft.</w:t>
      </w:r>
    </w:p>
    <w:p>
      <w:pPr>
        <w:spacing w:after="0" w:line="130"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Each of Borrower and each Guarantor shall hold all of its cash and Cash Equivalents in a Deposit Account or Securities Account (other than Excluded Accounts) subject to a Control Agreement within [***] after the Closing Date (or such later date as agreed by the Administrative Agent in its sole discretion) or the opening or acquisition thereof, as applicable. All such Control Agreements governed under the laws of a state or territory of the United States shall provide for “springing” cash dominion with respect to each such account, including each disbursement account. With respect to each Control Agreement, the Administrative Agent will not deliver to the relevant depository institution a notice or other instruction that provides for exclusive control over such account by the Administrative Agent unless an Event of Default has occurred and is continuing.</w:t>
      </w:r>
    </w:p>
    <w:p>
      <w:pPr>
        <w:spacing w:after="0" w:line="228"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Borrower shall, and shall cause each of the Loan Parties to, satisfy the requirements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on or before the post-closing date specified for such requirement or such later date to be determined by Administrative Agent in its sole discretion.</w:t>
      </w:r>
    </w:p>
    <w:p>
      <w:pPr>
        <w:spacing w:after="0" w:line="321"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VCOC Letter</w:t>
      </w:r>
      <w:r>
        <w:rPr>
          <w:rFonts w:ascii="Times New Roman" w:cs="Times New Roman" w:eastAsia="Times New Roman" w:hAnsi="Times New Roman"/>
          <w:sz w:val="18"/>
          <w:szCs w:val="18"/>
          <w:color w:val="auto"/>
        </w:rPr>
        <w:t xml:space="preserve">. To the extent reasonably requested by any Lender after the Closing Date that relies upon the exception for “venture capital operating companies” under U.S. Department of Labor regulations, the Borrower shall promptly deliver to such Lender a duly executed VCOC information letter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or such other form as is reasonably acceptable to the Borrower and such Lender.</w:t>
      </w:r>
    </w:p>
    <w:p>
      <w:pPr>
        <w:spacing w:after="0" w:line="1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VI</w:t>
      </w:r>
    </w:p>
    <w:p>
      <w:pPr>
        <w:spacing w:after="0" w:line="1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160" w:lineRule="exact"/>
        <w:rPr>
          <w:sz w:val="20"/>
          <w:szCs w:val="20"/>
          <w:color w:val="auto"/>
        </w:rPr>
      </w:pPr>
    </w:p>
    <w:p>
      <w:pPr>
        <w:jc w:val="both"/>
        <w:ind w:firstLine="1102"/>
        <w:spacing w:after="0" w:line="250" w:lineRule="auto"/>
        <w:rPr>
          <w:sz w:val="20"/>
          <w:szCs w:val="20"/>
          <w:color w:val="auto"/>
        </w:rPr>
      </w:pPr>
      <w:r>
        <w:rPr>
          <w:rFonts w:ascii="Times New Roman" w:cs="Times New Roman" w:eastAsia="Times New Roman" w:hAnsi="Times New Roman"/>
          <w:sz w:val="18"/>
          <w:szCs w:val="18"/>
          <w:color w:val="auto"/>
        </w:rPr>
        <w:t>Each Loan Party covenants and agrees that, so long as any Commitment is in effect and until payment in full of all Obligations (other than any such contingent obligations or liabilities hereunder that by express terms thereof survive such payment in full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ectPr>
          <w:pgSz w:w="11900" w:h="16838" w:orient="portrait"/>
          <w:cols w:equalWidth="0" w:num="1">
            <w:col w:w="11260"/>
          </w:cols>
          <w:pgMar w:left="320" w:top="120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 xml:space="preserve">Obligations), such Loan Party shall perform, and shall cause each of its Subsidiaries to perform, all covenants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Loan Party shall, nor shall it permit any of its Subsidiaries to, directly or indirectly, create, incur, assume or guaranty, or otherwise become or remain directly or indirectly liable with respect to any Indebtedness, except Permitted Indebtedness.</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Borrower or any of its Subsidiaries, whether now owned or hereafter acquired, or any income or profits therefrom, except Permitted Liens.</w:t>
      </w:r>
    </w:p>
    <w:p>
      <w:pPr>
        <w:spacing w:after="0" w:line="129"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Borrower and its Subsidiaries shall not amend or permit the amendment of any provision of (i) any Material Contract, (ii) any agreement governing Junior Debt or (iii) any agreement governing Permitted Receivables Indebtedness, in each case if the result of which amendment under this Section 6.3 would be materially adverse to the interests of the Administrative Agent and the Lenders (in their respective capacities as such).</w:t>
      </w:r>
    </w:p>
    <w:p>
      <w:pPr>
        <w:spacing w:after="0" w:line="129" w:lineRule="exact"/>
        <w:rPr>
          <w:sz w:val="20"/>
          <w:szCs w:val="20"/>
          <w:color w:val="auto"/>
        </w:rPr>
      </w:pPr>
    </w:p>
    <w:p>
      <w:pPr>
        <w:jc w:val="both"/>
        <w:ind w:firstLine="551"/>
        <w:spacing w:after="0" w:line="21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No Further Negative Pledges</w:t>
      </w:r>
      <w:r>
        <w:rPr>
          <w:rFonts w:ascii="Times New Roman" w:cs="Times New Roman" w:eastAsia="Times New Roman" w:hAnsi="Times New Roman"/>
          <w:sz w:val="18"/>
          <w:szCs w:val="18"/>
          <w:color w:val="auto"/>
        </w:rPr>
        <w:t xml:space="preserve">. Except with respect to (a) specific property encumbered to secure payment of particular Indebtedness or to be sold pursuant to an executed agreement with respect to an Asset Sale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(b) [reserved], (c) restrictions by reason of customary provisions restricting assignments, subletting or other transfers contained in leases, licenses and similar agreements entered into in the ordinary course of business (provided that such restrictions are limited to the property or assets secured by such Liens or the property or assets subject to such leases, licenses or similar agreements, as the case may be), (d) [reserved], (e)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(f) restrictions on cash or other deposits or net worth imposed by customers under commercial contracts entered into in the ordinary course of business, (g) any encumbrances or restrictions entered into in the ordinary course of business with respect to Intellectual Property Rights that limit or restrict the ability to grant a security interest in such Intellectual Property Rights, (h) customary provisions in joint venture agreements or arrangements and other similar agreements or arrangements relating solely to the applicable joint venture, (i) any encumbrance or restriction contained in secured Indebtedness otherwise permitted to be incurred hereunder to the extent limiting the right of the debtor to dispose of the assets securing such Indebtedness and (j) any encumbrances or restrictions of the type referred to in the immediately preceding clauses (a) through (i) above imposed by any amendments, modifications, restatements, renewals, increases, supplements, refundings, replacements or refinancings of the contracts, instruments or obligations referred to such immediately preceding clauses (a) through (i) above; provided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in favor of the Administrative Agent upon any of its properties or assets, whether now owned or hereafter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ectPr>
          <w:pgSz w:w="11900" w:h="16838" w:orient="portrait"/>
          <w:cols w:equalWidth="0" w:num="1">
            <w:col w:w="11260"/>
          </w:cols>
          <w:pgMar w:left="320" w:top="1207" w:right="319" w:bottom="1440" w:gutter="0" w:footer="0" w:header="0"/>
        </w:sectPr>
      </w:pPr>
    </w:p>
    <w:bookmarkStart w:id="144" w:name="page145"/>
    <w:bookmarkEnd w:id="144"/>
    <w:p>
      <w:pPr>
        <w:ind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Restricted Junior Payments</w:t>
      </w:r>
      <w:r>
        <w:rPr>
          <w:rFonts w:ascii="Times New Roman" w:cs="Times New Roman" w:eastAsia="Times New Roman" w:hAnsi="Times New Roman"/>
          <w:sz w:val="18"/>
          <w:szCs w:val="18"/>
          <w:color w:val="auto"/>
        </w:rPr>
        <w:t>. No Loan Party shall, nor shall it permit any of its Subsidiaries through any manner or means or through any other Person to, directly or indirectly, declare, order, pay or make any sum for any Restricted Junior Payment, in each case, except for:</w:t>
      </w:r>
    </w:p>
    <w:p>
      <w:pPr>
        <w:spacing w:after="0" w:line="120" w:lineRule="exact"/>
        <w:rPr>
          <w:sz w:val="20"/>
          <w:szCs w:val="20"/>
          <w:color w:val="auto"/>
        </w:rPr>
      </w:pPr>
    </w:p>
    <w:p>
      <w:pPr>
        <w:ind w:left="1640" w:hanging="546"/>
        <w:spacing w:after="0"/>
        <w:tabs>
          <w:tab w:leader="none" w:pos="1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to Borrower’s or any Subsidiary’s equityholders in the form of Common Stock;</w:t>
      </w:r>
    </w:p>
    <w:p>
      <w:pPr>
        <w:spacing w:after="0" w:line="160"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issuance of Qualified Capital Stock of Borrower upon the exercise of any warrants, options or rights to acquire such Qualified Capital Stock, including upon conversion of any Indebtedness that is convertible into or exchangeable for Qualified Capital Stock of Borrower, (ii) cash payments in lieu of issuing fractional shares in connection with the exercise of warrants, options or other securities convertible or exchangeable into Capital Stock of Borrower or under an Employee Stock Purchase Plan, and (iii) the issuance of common stock of Borrower pursuant to an Employee Stock Purchase Plan;</w:t>
      </w:r>
    </w:p>
    <w:p>
      <w:pPr>
        <w:spacing w:after="0" w:line="127" w:lineRule="exact"/>
        <w:rPr>
          <w:rFonts w:ascii="Times New Roman" w:cs="Times New Roman" w:eastAsia="Times New Roman" w:hAnsi="Times New Roman"/>
          <w:sz w:val="18"/>
          <w:szCs w:val="18"/>
          <w:color w:val="auto"/>
        </w:rPr>
      </w:pPr>
    </w:p>
    <w:p>
      <w:pPr>
        <w:ind w:firstLine="1094"/>
        <w:spacing w:after="0" w:line="250" w:lineRule="auto"/>
        <w:tabs>
          <w:tab w:leader="none" w:pos="16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or other Restricted Junior Payments by a Subsidiary of Borrower to Borrower or such Subsidiary’s direct parent company; provided that, if such Restricted Junior Payment is made by a Loan Party, such direct parent company is a Loan Party;</w:t>
      </w:r>
    </w:p>
    <w:p>
      <w:pPr>
        <w:spacing w:after="0" w:line="119" w:lineRule="exact"/>
        <w:rPr>
          <w:rFonts w:ascii="Times New Roman" w:cs="Times New Roman" w:eastAsia="Times New Roman" w:hAnsi="Times New Roman"/>
          <w:sz w:val="18"/>
          <w:szCs w:val="18"/>
          <w:color w:val="auto"/>
        </w:rPr>
      </w:pPr>
    </w:p>
    <w:p>
      <w:pPr>
        <w:jc w:val="both"/>
        <w:ind w:firstLine="1094"/>
        <w:spacing w:after="0" w:line="220" w:lineRule="auto"/>
        <w:tabs>
          <w:tab w:leader="none" w:pos="16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 exists or would result therefrom, the repurchase, retirement or other acquisition or retirement for value of Capital Stock (or any options or warrants or stock appreciation or similar rights issued with respect to any of such Capital Stock) held by any future, present or former employee, director, officer, vendor or consultant (or any affiliates, spouses, former spouses, other immediate family members, successors, executors, administrators, heirs, legatees or distributees of any of the foregoing) pursuant to any employee, management or director profit interests or shareholder’s or stockholder’s agreement, equity plan, employee, management or director stock option plan or any other employee, management or director benefit plan or any agreement with any employee, director, officer, vendor or consultant;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payments, measured at the time made, do not exceed, in any Fiscal Year, $[***] (but with such the calculation of such limitation not to include the amount of capital securities withheld from equity awards to satisfy tax withholdings and similar obligations); provided that any unused portion for any Fiscal Year may be carried forward to the immediately succeeding Fiscal Year; and</w:t>
      </w:r>
    </w:p>
    <w:p>
      <w:pPr>
        <w:spacing w:after="0" w:line="129"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Qualified Capital Stock of the Borrower (or the payment of a dividend to a direct or indirect parent of the Borrower to fund such repurchase) upon (x) vesting of restricted stock, restricted stock units, performance shares units or similar equity incentives or (y) upon the vesting or exercise of any stock options or other equity awards, in each case under this clause (e) solely to satisfy tax withholding or similar tax obligations with respect thereto;</w:t>
      </w:r>
    </w:p>
    <w:p>
      <w:pPr>
        <w:spacing w:after="0" w:line="128"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60"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made in connection with (or to induce or effectuate) the conversion of any convertible Indebtedness to the extent such distribution consists of (A) common stock or Permitted Convertible Indebtedness (subject to the cap in clause (n) of the definition of Permitted Indebtedness) or (B) cash proceeds of a substantially concurrent issuance of common stock or Permitted Convertible Indebtedness (subject to the cap in clause (n) of the definition of Permitted Indebtedness) of the Borrower;</w:t>
      </w:r>
    </w:p>
    <w:p>
      <w:pPr>
        <w:spacing w:after="0" w:line="128" w:lineRule="exact"/>
        <w:rPr>
          <w:rFonts w:ascii="Times New Roman" w:cs="Times New Roman" w:eastAsia="Times New Roman" w:hAnsi="Times New Roman"/>
          <w:sz w:val="18"/>
          <w:szCs w:val="18"/>
          <w:color w:val="auto"/>
        </w:rPr>
      </w:pPr>
    </w:p>
    <w:p>
      <w:pPr>
        <w:ind w:right="20" w:firstLine="1094"/>
        <w:spacing w:after="0" w:line="250" w:lineRule="auto"/>
        <w:tabs>
          <w:tab w:leader="none" w:pos="16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may purchase, redeem, retire or otherwise acquire for value Capital Stock (and any related stock appreciation rights, plans, equity incentive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ectPr>
          <w:pgSz w:w="11900" w:h="16838" w:orient="portrait"/>
          <w:cols w:equalWidth="0" w:num="1">
            <w:col w:w="11260"/>
          </w:cols>
          <w:pgMar w:left="320" w:top="1207" w:right="319" w:bottom="1440" w:gutter="0" w:footer="0" w:header="0"/>
        </w:sectPr>
      </w:pPr>
    </w:p>
    <w:bookmarkStart w:id="145" w:name="page146"/>
    <w:bookmarkEnd w:id="145"/>
    <w:p>
      <w:pPr>
        <w:jc w:val="both"/>
        <w:ind w:left="8"/>
        <w:spacing w:after="0" w:line="229" w:lineRule="auto"/>
        <w:rPr>
          <w:sz w:val="20"/>
          <w:szCs w:val="20"/>
          <w:color w:val="auto"/>
        </w:rPr>
      </w:pPr>
      <w:r>
        <w:rPr>
          <w:rFonts w:ascii="Times New Roman" w:cs="Times New Roman" w:eastAsia="Times New Roman" w:hAnsi="Times New Roman"/>
          <w:sz w:val="18"/>
          <w:szCs w:val="18"/>
          <w:color w:val="auto"/>
        </w:rPr>
        <w:t xml:space="preserve">achievement plans or any similar plans) of a Person being acquired in any Permitted Acquisition or other Investment permitted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connection with such Permitted Acquisition or other Investment; provided that such purchase, redemption, retirement or acquisition shall be a part of the consideration or purchase price paid for such Permitted Acquisition (i.e. subject to any applicable caps with respect to the purchase price of such Permitted Acquisition); and</w:t>
      </w:r>
    </w:p>
    <w:p>
      <w:pPr>
        <w:spacing w:after="0" w:line="129" w:lineRule="exact"/>
        <w:rPr>
          <w:sz w:val="20"/>
          <w:szCs w:val="20"/>
          <w:color w:val="auto"/>
        </w:rPr>
      </w:pPr>
    </w:p>
    <w:p>
      <w:pPr>
        <w:ind w:left="8" w:firstLine="1094"/>
        <w:spacing w:after="0" w:line="250" w:lineRule="auto"/>
        <w:tabs>
          <w:tab w:leader="none" w:pos="16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other Restricted Junior Payments in an aggregate amount not to exceed $[***] over the term of this Agreement.</w:t>
      </w:r>
    </w:p>
    <w:p>
      <w:pPr>
        <w:spacing w:after="0" w:line="119" w:lineRule="exact"/>
        <w:rPr>
          <w:rFonts w:ascii="Times New Roman" w:cs="Times New Roman" w:eastAsia="Times New Roman" w:hAnsi="Times New Roman"/>
          <w:sz w:val="18"/>
          <w:szCs w:val="18"/>
          <w:color w:val="auto"/>
        </w:rPr>
      </w:pPr>
    </w:p>
    <w:p>
      <w:pPr>
        <w:ind w:left="8" w:right="20" w:firstLine="1094"/>
        <w:spacing w:after="0" w:line="250" w:lineRule="auto"/>
        <w:tabs>
          <w:tab w:leader="none" w:pos="16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Restricted Junior Payment may be made with Core Assets to Persons other than the Borrower or a Subsidiary.</w:t>
      </w:r>
    </w:p>
    <w:p>
      <w:pPr>
        <w:spacing w:after="0" w:line="120" w:lineRule="exact"/>
        <w:rPr>
          <w:sz w:val="20"/>
          <w:szCs w:val="20"/>
          <w:color w:val="auto"/>
        </w:rPr>
      </w:pPr>
    </w:p>
    <w:p>
      <w:pPr>
        <w:jc w:val="both"/>
        <w:ind w:left="8" w:right="20"/>
        <w:spacing w:after="0" w:line="250" w:lineRule="auto"/>
        <w:rPr>
          <w:sz w:val="20"/>
          <w:szCs w:val="20"/>
          <w:color w:val="auto"/>
        </w:rPr>
      </w:pPr>
      <w:r>
        <w:rPr>
          <w:rFonts w:ascii="Times New Roman" w:cs="Times New Roman" w:eastAsia="Times New Roman" w:hAnsi="Times New Roman"/>
          <w:sz w:val="18"/>
          <w:szCs w:val="18"/>
          <w:color w:val="auto"/>
        </w:rPr>
        <w:t xml:space="preserve">For the avoidance of doubt, nothing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prohibit or otherwise limit the entry into, exercise of its rights under, and performance by the Borrower or any applicable Subsidiary of its respective payment and other obligations under the Permitted Equity Derivatives.</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8" w:firstLine="551"/>
        <w:spacing w:after="0" w:line="217"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Restrictions on Subsidiary Distributions</w:t>
      </w:r>
      <w:r>
        <w:rPr>
          <w:rFonts w:ascii="Times New Roman" w:cs="Times New Roman" w:eastAsia="Times New Roman" w:hAnsi="Times New Roman"/>
          <w:sz w:val="18"/>
          <w:szCs w:val="18"/>
          <w:color w:val="auto"/>
        </w:rPr>
        <w:t>. Except as provided herein, no Loan Party shall, nor shall it permit any of its Subsidiaries to, create or otherwise cause or suffer to exist or become effective any consensual encumbrance or restriction of any kind on the ability of any Subsidiary of Borrower to (a) pay dividends or make any other distributions on any of such Subsidiary’s Capital Stock owned by Borrower or any other Subsidiary of Borrower or (b) to amend or otherwise modify any Loan Document, other than restrictions (i) that are or were created by virtue of any transfer of, agreement to transfer or option or right with respect to any property, assets or Capital Stock not otherwise prohibited under this Agreement,</w:t>
      </w:r>
    </w:p>
    <w:p>
      <w:pPr>
        <w:spacing w:after="0" w:line="3" w:lineRule="exact"/>
        <w:rPr>
          <w:sz w:val="20"/>
          <w:szCs w:val="20"/>
          <w:color w:val="auto"/>
        </w:rPr>
      </w:pPr>
    </w:p>
    <w:p>
      <w:pPr>
        <w:jc w:val="both"/>
        <w:ind w:left="8" w:hanging="8"/>
        <w:spacing w:after="0" w:line="236" w:lineRule="auto"/>
        <w:tabs>
          <w:tab w:leader="none" w:pos="31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any Loan Document (including any applicable intercreditor or subordination agreement) or in the documentation governing any Permitted Convertible Indebtedness, (iii) contained in the definitive documentation governing any Permitted Receivables Indebtedness or any Permitted Royalty Monetization Transaction, (iv) existing on the Closing Date identified on </w:t>
      </w:r>
      <w:r>
        <w:rPr>
          <w:rFonts w:ascii="Times New Roman" w:cs="Times New Roman" w:eastAsia="Times New Roman" w:hAnsi="Times New Roman"/>
          <w:sz w:val="18"/>
          <w:szCs w:val="18"/>
          <w:u w:val="single" w:color="auto"/>
          <w:color w:val="auto"/>
        </w:rPr>
        <w:t>Schedule 6.6</w:t>
      </w:r>
      <w:r>
        <w:rPr>
          <w:rFonts w:ascii="Times New Roman" w:cs="Times New Roman" w:eastAsia="Times New Roman" w:hAnsi="Times New Roman"/>
          <w:sz w:val="18"/>
          <w:szCs w:val="18"/>
          <w:color w:val="auto"/>
        </w:rPr>
        <w:t xml:space="preserve">, (v) in agreements relating to Indebtedness of any Subsidiary that does not become a Loan Party in existence at the time such Subsidiary became a Subsidiary of Borrower and any amendments or modifications thereof that do not materially expand the scope of any such restriction; provided that, such restriction apply only to such Subsidiary, (vi) arising under or in connection with any agreement or instrument of any Joint Venture that is not a Loan Party (including with respect to Capital Stock therein), (vii) in any agreement governing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are no more restrictive, taken as a whole, than the comparable restrictions set forth in this Agreement as determined in the good faith judgment of Borrower and (viii) imposed by any amendments, modifications, restatements, renewals, increases, supplements, refundings, replacements or refinancings of the contracts, instruments or obligations referred to in clauses (i) through (viii)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they are permitted hereunder and do not expand the scope of any such restriction. No Loan Party shall, nor shall it permit its Subsidiaries to, enter into any Contractual Obligations that would prohibit a Subsidiary of Borrower from being a Loan Party.</w:t>
      </w:r>
    </w:p>
    <w:p>
      <w:pPr>
        <w:spacing w:after="0" w:line="129" w:lineRule="exact"/>
        <w:rPr>
          <w:sz w:val="20"/>
          <w:szCs w:val="20"/>
          <w:color w:val="auto"/>
        </w:rPr>
      </w:pPr>
    </w:p>
    <w:p>
      <w:pPr>
        <w:ind w:left="8"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No Loan Party shall, nor shall it permit any of its Subsidiaries to, directly or indirectly, make or own any Investment in any Person, including without limitation, any Joint Venture, except Permitted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- 95 -</w:t>
      </w:r>
    </w:p>
    <w:p>
      <w:pPr>
        <w:sectPr>
          <w:pgSz w:w="11900" w:h="16838" w:orient="portrait"/>
          <w:cols w:equalWidth="0" w:num="1">
            <w:col w:w="11268"/>
          </w:cols>
          <w:pgMar w:left="312" w:top="1207" w:right="319" w:bottom="1440" w:gutter="0" w:footer="0" w:header="0"/>
        </w:sectPr>
      </w:pPr>
    </w:p>
    <w:bookmarkStart w:id="146" w:name="page147"/>
    <w:bookmarkEnd w:id="146"/>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The Loan Parties shall not permit Qualified Cash at any time, tested as of the last day of each Fiscal Quarter, to be less than $50,000,000.</w:t>
      </w:r>
    </w:p>
    <w:p>
      <w:pPr>
        <w:spacing w:after="0" w:line="12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8"/>
          <w:szCs w:val="18"/>
          <w:u w:val="single" w:color="auto"/>
          <w:color w:val="auto"/>
        </w:rPr>
        <w:t>Fundamental Changes; Disposition of Assets</w:t>
      </w:r>
      <w:r>
        <w:rPr>
          <w:rFonts w:ascii="Times New Roman" w:cs="Times New Roman" w:eastAsia="Times New Roman" w:hAnsi="Times New Roman"/>
          <w:sz w:val="18"/>
          <w:szCs w:val="18"/>
          <w:color w:val="auto"/>
        </w:rPr>
        <w:t>. No Loan Party shall, nor shall it permit any of its Subsidiaries to:</w:t>
      </w:r>
    </w:p>
    <w:p>
      <w:pPr>
        <w:spacing w:after="0" w:line="160" w:lineRule="exact"/>
        <w:rPr>
          <w:sz w:val="20"/>
          <w:szCs w:val="20"/>
          <w:color w:val="auto"/>
        </w:rPr>
      </w:pPr>
    </w:p>
    <w:p>
      <w:pPr>
        <w:jc w:val="both"/>
        <w:ind w:firstLine="1094"/>
        <w:spacing w:after="0" w:line="234" w:lineRule="auto"/>
        <w:tabs>
          <w:tab w:leader="none" w:pos="16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or consolidation, or liquidate, wind up or dissolve itself (or suffer any liquidation or dissolution), including by means of a division of a domestic entity into two or more new domestic entities under the Texas Business Organizations Code or any comparable transaction under any similar law, except:</w:t>
      </w:r>
    </w:p>
    <w:p>
      <w:pPr>
        <w:spacing w:after="0" w:line="129" w:lineRule="exact"/>
        <w:rPr>
          <w:rFonts w:ascii="Times New Roman" w:cs="Times New Roman" w:eastAsia="Times New Roman" w:hAnsi="Times New Roman"/>
          <w:sz w:val="18"/>
          <w:szCs w:val="18"/>
          <w:color w:val="auto"/>
        </w:rPr>
      </w:pPr>
    </w:p>
    <w:p>
      <w:pPr>
        <w:jc w:val="both"/>
        <w:ind w:firstLine="1645"/>
        <w:spacing w:after="0" w:line="221" w:lineRule="auto"/>
        <w:tabs>
          <w:tab w:leader="none" w:pos="219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any Subsidiary of Borrower that is a Loan Party may be merged with or into Borrower or any Guarantor Subsidiary, or be liquidated, wound up or dissolved, or all or any part of its business, property or assets may be conveyed, sold, leased, transferred or otherwise disposed of, in one transaction or a series of transactions, to Borrower or any Guarantor Subsidiary; and (y) any Subsidiary of Borrower that is an Excluded Subsidiary may be merged with or into Borrower or any other Subsidiary, or be liquidated, wound up or dissolved, or all or any part of its business, property or assets may be conveyed, sold, leased, transferred or otherwise disposed of, in one transaction or a series of transactions, to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 the case of such merger involving Borrower, Borrower shall be the continuing or surviving Person and in the case of such merger not involving Borrower but involving a Guarantor Subsidiary, a Guarantor Subsidiary shall be the continuing or surviving person; or</w:t>
      </w:r>
    </w:p>
    <w:p>
      <w:pPr>
        <w:spacing w:after="0" w:line="128"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or constituting Permitted Acquisitions and other Permitted Investments; or</w:t>
      </w:r>
    </w:p>
    <w:p>
      <w:pPr>
        <w:spacing w:after="0" w:line="160"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consummate any Asset Sale, in one transaction or a series of transactions, of all or any part of its business, assets or property of any kind whatsoever (including, without limitation, any Product (including, without limitation, any Intellectual Property Rights related thereto), and any Registration), whether real, personal or mixed and whether tangible or intangible, whether now owned or hereafter acquired, or, except, in each case (other than in the case of any Asset Sale by a Loan Party to a Loan Party or in the case of any Asset Sale made pursuant to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pursuant to an arms’ length transaction on market terms and for fair market value:</w:t>
      </w:r>
    </w:p>
    <w:p>
      <w:pPr>
        <w:spacing w:after="0" w:line="127" w:lineRule="exact"/>
        <w:rPr>
          <w:rFonts w:ascii="Times New Roman" w:cs="Times New Roman" w:eastAsia="Times New Roman" w:hAnsi="Times New Roman"/>
          <w:sz w:val="18"/>
          <w:szCs w:val="18"/>
          <w:color w:val="auto"/>
        </w:rPr>
      </w:pPr>
    </w:p>
    <w:p>
      <w:pPr>
        <w:ind w:right="20" w:firstLine="1645"/>
        <w:spacing w:after="0" w:line="250" w:lineRule="auto"/>
        <w:tabs>
          <w:tab w:leader="none" w:pos="219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(other than in respect of Core Assets, other Material Intellectual Property, Key Permits, material Regulatory Authorizations or Material Contracts) by a Loan Party to a Subsidiary that is not a Loan Party in an amount not to exceed $[***];</w:t>
      </w:r>
    </w:p>
    <w:p>
      <w:pPr>
        <w:spacing w:after="0" w:line="119"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involving assets existing on the Closing Date and described in </w:t>
      </w:r>
      <w:r>
        <w:rPr>
          <w:rFonts w:ascii="Times New Roman" w:cs="Times New Roman" w:eastAsia="Times New Roman" w:hAnsi="Times New Roman"/>
          <w:sz w:val="18"/>
          <w:szCs w:val="18"/>
          <w:u w:val="single" w:color="auto"/>
          <w:color w:val="auto"/>
        </w:rPr>
        <w:t>Schedule 6.9(b)(ii)</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and other Permitted Investments;</w:t>
      </w:r>
    </w:p>
    <w:p>
      <w:pPr>
        <w:spacing w:after="0" w:line="160" w:lineRule="exact"/>
        <w:rPr>
          <w:rFonts w:ascii="Times New Roman" w:cs="Times New Roman" w:eastAsia="Times New Roman" w:hAnsi="Times New Roman"/>
          <w:sz w:val="18"/>
          <w:szCs w:val="18"/>
          <w:color w:val="auto"/>
        </w:rPr>
      </w:pPr>
    </w:p>
    <w:p>
      <w:pPr>
        <w:ind w:firstLine="1645"/>
        <w:spacing w:after="0" w:line="250" w:lineRule="auto"/>
        <w:tabs>
          <w:tab w:leader="none" w:pos="219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unwinding or other termination of any Hedging Agreement or any Permitted Equity Derivative or the entry into any Permitted Equity Derivatives;</w:t>
      </w:r>
    </w:p>
    <w:p>
      <w:pPr>
        <w:spacing w:after="0" w:line="116"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of inventory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Asset Sale shall be made in reliance on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of any Core Asset;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w:t>
      </w:r>
    </w:p>
    <w:p>
      <w:pPr>
        <w:sectPr>
          <w:pgSz w:w="11900" w:h="16838" w:orient="portrait"/>
          <w:cols w:equalWidth="0" w:num="1">
            <w:col w:w="11260"/>
          </w:cols>
          <w:pgMar w:left="320" w:top="1207" w:right="319" w:bottom="1440" w:gutter="0" w:footer="0" w:header="0"/>
        </w:sectPr>
      </w:pPr>
    </w:p>
    <w:bookmarkStart w:id="147" w:name="page148"/>
    <w:bookmarkEnd w:id="147"/>
    <w:p>
      <w:pPr>
        <w:ind w:left="8" w:right="20" w:firstLine="1645"/>
        <w:spacing w:after="0" w:line="250" w:lineRule="auto"/>
        <w:tabs>
          <w:tab w:leader="none" w:pos="220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obsolete or worn out, retired or surplus property, whether now owned or hereafter acquired, in the ordinary course of business and in accordance with prudent business practices;</w:t>
      </w:r>
    </w:p>
    <w:p>
      <w:pPr>
        <w:spacing w:after="0" w:line="116" w:lineRule="exact"/>
        <w:rPr>
          <w:rFonts w:ascii="Times New Roman" w:cs="Times New Roman" w:eastAsia="Times New Roman" w:hAnsi="Times New Roman"/>
          <w:sz w:val="18"/>
          <w:szCs w:val="18"/>
          <w:color w:val="auto"/>
        </w:rPr>
      </w:pPr>
    </w:p>
    <w:p>
      <w:pPr>
        <w:ind w:left="2208" w:hanging="555"/>
        <w:spacing w:after="0"/>
        <w:tabs>
          <w:tab w:leader="none" w:pos="220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or waiver of contractual rights and settlement or waiver of contractual or litigation claims in the ordinary course</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140" w:lineRule="exact"/>
        <w:rPr>
          <w:rFonts w:ascii="Times New Roman" w:cs="Times New Roman" w:eastAsia="Times New Roman" w:hAnsi="Times New Roman"/>
          <w:sz w:val="18"/>
          <w:szCs w:val="18"/>
          <w:color w:val="auto"/>
        </w:rPr>
      </w:pPr>
    </w:p>
    <w:p>
      <w:pPr>
        <w:ind w:left="8" w:firstLine="1645"/>
        <w:spacing w:after="0" w:line="250" w:lineRule="auto"/>
        <w:tabs>
          <w:tab w:leader="none" w:pos="221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to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Asset Sale from a Subsidiary that is not a Loan Party to a Loan Party shall be for an amount not greater than the fair market value of the property disposed of;</w:t>
      </w:r>
    </w:p>
    <w:p>
      <w:pPr>
        <w:spacing w:after="0" w:line="119" w:lineRule="exact"/>
        <w:rPr>
          <w:rFonts w:ascii="Times New Roman" w:cs="Times New Roman" w:eastAsia="Times New Roman" w:hAnsi="Times New Roman"/>
          <w:sz w:val="18"/>
          <w:szCs w:val="18"/>
          <w:color w:val="auto"/>
        </w:rPr>
      </w:pPr>
    </w:p>
    <w:p>
      <w:pPr>
        <w:ind w:left="2188" w:hanging="535"/>
        <w:spacing w:after="0"/>
        <w:tabs>
          <w:tab w:leader="none" w:pos="218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Asset Sale, any Permitted Royalty Monetization Transaction;</w:t>
      </w:r>
    </w:p>
    <w:p>
      <w:pPr>
        <w:spacing w:after="0" w:line="160" w:lineRule="exact"/>
        <w:rPr>
          <w:rFonts w:ascii="Times New Roman" w:cs="Times New Roman" w:eastAsia="Times New Roman" w:hAnsi="Times New Roman"/>
          <w:sz w:val="18"/>
          <w:szCs w:val="18"/>
          <w:color w:val="auto"/>
        </w:rPr>
      </w:pPr>
    </w:p>
    <w:p>
      <w:pPr>
        <w:ind w:left="8" w:firstLine="1645"/>
        <w:spacing w:after="0" w:line="250" w:lineRule="auto"/>
        <w:tabs>
          <w:tab w:leader="none" w:pos="220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consisting of Permitted Liens (other than Permitted Liens under clause (r) of the definition thereof) and Restricted Junior Payments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8" w:firstLine="1645"/>
        <w:spacing w:after="0" w:line="234" w:lineRule="auto"/>
        <w:tabs>
          <w:tab w:leader="none" w:pos="220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accounts receivable in connection with the incurrence of Permitted Receivables Indebtedness or, without duplication, the collection or compromise of any receivables in the ordinary course of business and Asset Sales of Cash Equivalents for cash or other Cash Equivalents;</w:t>
      </w:r>
    </w:p>
    <w:p>
      <w:pPr>
        <w:spacing w:after="0" w:line="129" w:lineRule="exact"/>
        <w:rPr>
          <w:rFonts w:ascii="Times New Roman" w:cs="Times New Roman" w:eastAsia="Times New Roman" w:hAnsi="Times New Roman"/>
          <w:sz w:val="18"/>
          <w:szCs w:val="18"/>
          <w:color w:val="auto"/>
        </w:rPr>
      </w:pPr>
    </w:p>
    <w:p>
      <w:pPr>
        <w:jc w:val="both"/>
        <w:ind w:left="8" w:firstLine="1645"/>
        <w:spacing w:after="0" w:line="224" w:lineRule="auto"/>
        <w:tabs>
          <w:tab w:leader="none" w:pos="220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 Sales (other than any disposition to a non-Loan Party of Core Assets) in an amount not to exceed $[***] in the aggregate in any Fiscal Year [***] so long as (x) such Asset Sales shall be for an amount not less than the fair market value of the property disposed of,</w:t>
      </w:r>
    </w:p>
    <w:p>
      <w:pPr>
        <w:spacing w:after="0" w:line="1" w:lineRule="exact"/>
        <w:rPr>
          <w:rFonts w:ascii="Times New Roman" w:cs="Times New Roman" w:eastAsia="Times New Roman" w:hAnsi="Times New Roman"/>
          <w:sz w:val="18"/>
          <w:szCs w:val="18"/>
          <w:color w:val="auto"/>
        </w:rPr>
      </w:pPr>
    </w:p>
    <w:p>
      <w:pPr>
        <w:jc w:val="both"/>
        <w:ind w:left="8" w:hanging="8"/>
        <w:spacing w:after="0" w:line="218" w:lineRule="auto"/>
        <w:tabs>
          <w:tab w:leader="none" w:pos="3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 of the consideration paid in connection therewith shall be Cash or Cash Equivalents paid substantially concurrently with consummation of the transaction and (z) no Event of Default [***] is continuing at the time the definitive agreement for such Asset Sale is entered into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highlight w:val="white"/>
        </w:rPr>
        <w:t>, the following shall be deemed to be Cash:</w:t>
      </w:r>
      <w:r>
        <w:rPr>
          <w:rFonts w:ascii="Times New Roman" w:cs="Times New Roman" w:eastAsia="Times New Roman" w:hAnsi="Times New Roman"/>
          <w:sz w:val="18"/>
          <w:szCs w:val="18"/>
          <w:color w:val="auto"/>
        </w:rPr>
        <w:t xml:space="preserve"> (x) any securities received by the Loan Parties or any Subsidiary from such transferee that are converted by such Person into cash or Cash Equivalents upon the closing of the applicable disposition, (y) any purchase price adjustment, milestone payment, royalty, earnout, contingent payment, back-end or other deferred payment of a similar nature, and (z)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that is at that time outstanding, not to exceed $[***];</w:t>
      </w:r>
    </w:p>
    <w:p>
      <w:pPr>
        <w:spacing w:after="0" w:line="133" w:lineRule="exact"/>
        <w:rPr>
          <w:rFonts w:ascii="Times New Roman" w:cs="Times New Roman" w:eastAsia="Times New Roman" w:hAnsi="Times New Roman"/>
          <w:sz w:val="18"/>
          <w:szCs w:val="18"/>
          <w:color w:val="auto"/>
        </w:rPr>
      </w:pPr>
    </w:p>
    <w:p>
      <w:pPr>
        <w:ind w:left="8" w:firstLine="1645"/>
        <w:spacing w:after="0" w:line="250" w:lineRule="auto"/>
        <w:tabs>
          <w:tab w:leader="none" w:pos="221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Capital Stock in any Joint Venture to the other holders of Capital Stock in such Joint Venture for fair market value or to the extent required by or made pursuant to customary buy/sell arrangements;</w:t>
      </w:r>
    </w:p>
    <w:p>
      <w:pPr>
        <w:spacing w:after="0" w:line="119" w:lineRule="exact"/>
        <w:rPr>
          <w:rFonts w:ascii="Times New Roman" w:cs="Times New Roman" w:eastAsia="Times New Roman" w:hAnsi="Times New Roman"/>
          <w:sz w:val="18"/>
          <w:szCs w:val="18"/>
          <w:color w:val="auto"/>
        </w:rPr>
      </w:pPr>
    </w:p>
    <w:p>
      <w:pPr>
        <w:ind w:left="8" w:firstLine="1645"/>
        <w:spacing w:after="0" w:line="250" w:lineRule="auto"/>
        <w:tabs>
          <w:tab w:leader="none" w:pos="220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Asset Sales in an aggregate amount not to exceed $[***]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Asset Sale of any Core Asset shall be made in reliance on this </w:t>
      </w:r>
      <w:r>
        <w:rPr>
          <w:rFonts w:ascii="Times New Roman" w:cs="Times New Roman" w:eastAsia="Times New Roman" w:hAnsi="Times New Roman"/>
          <w:sz w:val="18"/>
          <w:szCs w:val="18"/>
          <w:u w:val="single" w:color="auto"/>
          <w:color w:val="auto"/>
        </w:rPr>
        <w:t>clause (xiv)</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8" w:firstLine="1645"/>
        <w:spacing w:after="0" w:line="226" w:lineRule="auto"/>
        <w:tabs>
          <w:tab w:leader="none" w:pos="220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Asset Sale, any other disposition constituting the lapse, abandonment, cancellation, non-renewal or discontinuance of use of Owned Intellectual Property (other than Material Intellectual Property that is material to the Borrower and its Subsidiaries) of the Borrower or any Subsidiary, or non-exclusive licenses of Licensed Intellectual Property (other than Material Intellectual Property that is material to the Borrower and its Subsidiaries) thereof that the Borrower reasonably determines in good faith is no longer necessary or desirable in the conduct of the Borrower’s or any Subsidiary’s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548" w:hanging="115"/>
        <w:spacing w:after="0"/>
        <w:tabs>
          <w:tab w:leader="none" w:pos="5548"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p>
    <w:p>
      <w:pPr>
        <w:sectPr>
          <w:pgSz w:w="11900" w:h="16838" w:orient="portrait"/>
          <w:cols w:equalWidth="0" w:num="1">
            <w:col w:w="11268"/>
          </w:cols>
          <w:pgMar w:left="312" w:top="1207" w:right="319" w:bottom="1440" w:gutter="0" w:footer="0" w:header="0"/>
        </w:sectPr>
      </w:pPr>
    </w:p>
    <w:bookmarkStart w:id="148" w:name="page149"/>
    <w:bookmarkEnd w:id="148"/>
    <w:p>
      <w:pPr>
        <w:jc w:val="both"/>
        <w:spacing w:after="0" w:line="234" w:lineRule="auto"/>
        <w:rPr>
          <w:sz w:val="20"/>
          <w:szCs w:val="20"/>
          <w:color w:val="auto"/>
        </w:rPr>
      </w:pPr>
      <w:r>
        <w:rPr>
          <w:rFonts w:ascii="Times New Roman" w:cs="Times New Roman" w:eastAsia="Times New Roman" w:hAnsi="Times New Roman"/>
          <w:sz w:val="18"/>
          <w:szCs w:val="18"/>
          <w:color w:val="auto"/>
        </w:rPr>
        <w:t>or the lapse, abandonment, cancellation, non-renewal or other discontinuance of any Owned Intellectual Property (other than Material Intellectual Property that is material to the Borrower and its Subsidiaries) that the Borrower or any Subsidiary reasonably believes will not be allowed to issue or register by any Governmental Authority that needs to be issued or registered to be of value to the Borrower and its Subsidiaries;</w:t>
      </w:r>
    </w:p>
    <w:p>
      <w:pPr>
        <w:spacing w:after="0" w:line="129" w:lineRule="exact"/>
        <w:rPr>
          <w:sz w:val="20"/>
          <w:szCs w:val="20"/>
          <w:color w:val="auto"/>
        </w:rPr>
      </w:pPr>
    </w:p>
    <w:p>
      <w:pPr>
        <w:jc w:val="both"/>
        <w:ind w:firstLine="1645"/>
        <w:spacing w:after="0" w:line="229" w:lineRule="auto"/>
        <w:tabs>
          <w:tab w:leader="none" w:pos="219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disposition of Capital Stock (I) deemed to occur upon the exercise of stock options, warrants or other equity derivatives or settlement of convertible securities if such Capital Stock represents (1) a portion of the exercise price thereof or (2) withholding incurred in connection with such exercise, or (II) upon the exercise of any warrant; or (B) a disposition deemed to occur upon cancellation or forgiveness of loans and advances constituting Investments permitted by this Agreement;</w:t>
      </w:r>
    </w:p>
    <w:p>
      <w:pPr>
        <w:spacing w:after="0" w:line="128" w:lineRule="exact"/>
        <w:rPr>
          <w:rFonts w:ascii="Times New Roman" w:cs="Times New Roman" w:eastAsia="Times New Roman" w:hAnsi="Times New Roman"/>
          <w:sz w:val="18"/>
          <w:szCs w:val="18"/>
          <w:color w:val="auto"/>
        </w:rPr>
      </w:pPr>
    </w:p>
    <w:p>
      <w:pPr>
        <w:jc w:val="both"/>
        <w:ind w:firstLine="1645"/>
        <w:spacing w:after="0" w:line="234" w:lineRule="auto"/>
        <w:tabs>
          <w:tab w:leader="none" w:pos="21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in connection with the enforcement and/or settlement of litigation, or the non-exclusive licensing of patents owned by Borrower or any of its Subsidiaries which do not impair Borrower’s or any of its Subsidiaries’ ability to carry out their respective business and do not impact the projected revenues of the Borrower and its Subsidiaries, in any material respect; and</w:t>
      </w:r>
    </w:p>
    <w:p>
      <w:pPr>
        <w:spacing w:after="0" w:line="129"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(i) all Asset Sales by any Loan Party to any Subsidiary that is not a Loan Party shall be required to be made through the foregoing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(ii) no assignment, transfer, contribution, license, sublicense or other disposition of any Core Asset [***] is permitted to be made hereunder to a non-Loan Party except as specifically permitted under this Agreement and (iii) [***].</w:t>
      </w:r>
    </w:p>
    <w:p>
      <w:pPr>
        <w:spacing w:after="0" w:line="129"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Sales and Leasebacks</w:t>
      </w:r>
      <w:r>
        <w:rPr>
          <w:rFonts w:ascii="Times New Roman" w:cs="Times New Roman" w:eastAsia="Times New Roman" w:hAnsi="Times New Roman"/>
          <w:sz w:val="18"/>
          <w:szCs w:val="18"/>
          <w:color w:val="auto"/>
        </w:rPr>
        <w:t xml:space="preserve">. No Loan Party shall, nor shall it permit any of its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that has been or is to be sold or transferred by such Loan Party to any Person (other than Borrower or any of its Subsidiaries) in connection with such lease; unless (i) the sale or transfer of property thereunder is permitted by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(ii) any Capital Lease or related Indebtedness arising in connection therewith is permitted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(iii) any Liens arising in connection therewith is permitted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551"/>
        <w:spacing w:after="0" w:line="223"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Transactions with Shareholders and Affiliates</w:t>
      </w:r>
      <w:r>
        <w:rPr>
          <w:rFonts w:ascii="Times New Roman" w:cs="Times New Roman" w:eastAsia="Times New Roman" w:hAnsi="Times New Roman"/>
          <w:sz w:val="18"/>
          <w:szCs w:val="18"/>
          <w:color w:val="auto"/>
        </w:rPr>
        <w:t>. No Loan Party shall, nor shall it permit any of its Subsidiaries to, directly or indirectly, enter into or permit to exist any transaction (including the purchase, sale, lease or exchange of any property or the rendering of any service), or series of related transactions, with any Affiliate of Borrower or of any such holder with a value in excess (A) $[***] in the aggregate in any Fiscal Year and (B) $[***] in the aggregate over the term of this Agreement; provided, that the Loan Parties and their Subsidiaries may enter into or permit to exist any such transaction if Administrative Agent has consented thereto in writing prior to the consummation thereof, provided, further, that the foregoing restrictions shall not apply to any of the following:</w:t>
      </w:r>
    </w:p>
    <w:p>
      <w:pPr>
        <w:spacing w:after="0" w:line="132" w:lineRule="exact"/>
        <w:rPr>
          <w:sz w:val="20"/>
          <w:szCs w:val="20"/>
          <w:color w:val="auto"/>
        </w:rPr>
      </w:pPr>
    </w:p>
    <w:p>
      <w:pPr>
        <w:ind w:left="1640" w:hanging="546"/>
        <w:spacing w:after="0"/>
        <w:tabs>
          <w:tab w:leader="none" w:pos="1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among the Borrower and its Subsidiaries expressly permitted hereunder;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540" w:hanging="115"/>
        <w:spacing w:after="0"/>
        <w:tabs>
          <w:tab w:leader="none" w:pos="5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p>
    <w:p>
      <w:pPr>
        <w:sectPr>
          <w:pgSz w:w="11900" w:h="16838" w:orient="portrait"/>
          <w:cols w:equalWidth="0" w:num="1">
            <w:col w:w="11260"/>
          </w:cols>
          <w:pgMar w:left="320" w:top="1207" w:right="319" w:bottom="1440" w:gutter="0" w:footer="0" w:header="0"/>
        </w:sectPr>
      </w:pPr>
    </w:p>
    <w:bookmarkStart w:id="149" w:name="page150"/>
    <w:bookmarkEnd w:id="149"/>
    <w:p>
      <w:pPr>
        <w:ind w:firstLine="1094"/>
        <w:spacing w:after="0" w:line="250" w:lineRule="auto"/>
        <w:tabs>
          <w:tab w:leader="none" w:pos="16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fees and out of pocket expenses paid to, and indemnities provided to or on behalf of, current or former senior officers and the members of the Board of Directors (or similar governing body) of Borrower and its Subsidiaries;</w:t>
      </w:r>
    </w:p>
    <w:p>
      <w:pPr>
        <w:spacing w:after="0" w:line="11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other employment agreements and arrangements (including employee benefits, compensation, equity awards and director/officer indemnification agreements and dispositions permitted by Section 6.9(b)(xvi) and fees incurred in connection with compliance with the Hart-Scott-Rodino (HSR) Act) for current and former service providers, including officers, directors and employees, of the Borrower and its Subsidiaries entered into in the ordinary course of business or that are approved by the Borrower’s Board of Directors (or by the compensation committee or audit committee thereof);</w:t>
      </w:r>
    </w:p>
    <w:p>
      <w:pPr>
        <w:spacing w:after="0" w:line="127"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series of related transactions)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w:t>
      </w:r>
    </w:p>
    <w:p>
      <w:pPr>
        <w:spacing w:after="0" w:line="12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services for senior management of the Borrower and its Subsidiaries;</w:t>
      </w:r>
    </w:p>
    <w:p>
      <w:pPr>
        <w:spacing w:after="0" w:line="160" w:lineRule="exact"/>
        <w:rPr>
          <w:rFonts w:ascii="Times New Roman" w:cs="Times New Roman" w:eastAsia="Times New Roman" w:hAnsi="Times New Roman"/>
          <w:sz w:val="18"/>
          <w:szCs w:val="18"/>
          <w:color w:val="auto"/>
        </w:rPr>
      </w:pPr>
    </w:p>
    <w:p>
      <w:pPr>
        <w:ind w:right="20" w:firstLine="1094"/>
        <w:spacing w:after="0" w:line="250" w:lineRule="auto"/>
        <w:tabs>
          <w:tab w:leader="none" w:pos="165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effect on the Closing Date and listed on </w:t>
      </w:r>
      <w:r>
        <w:rPr>
          <w:rFonts w:ascii="Times New Roman" w:cs="Times New Roman" w:eastAsia="Times New Roman" w:hAnsi="Times New Roman"/>
          <w:sz w:val="18"/>
          <w:szCs w:val="18"/>
          <w:u w:val="single" w:color="auto"/>
          <w:color w:val="auto"/>
        </w:rPr>
        <w:t>Schedule 6.12</w:t>
      </w:r>
      <w:r>
        <w:rPr>
          <w:rFonts w:ascii="Times New Roman" w:cs="Times New Roman" w:eastAsia="Times New Roman" w:hAnsi="Times New Roman"/>
          <w:sz w:val="18"/>
          <w:szCs w:val="18"/>
          <w:color w:val="auto"/>
        </w:rPr>
        <w:t>, and continuations and renewals thereof on substantially consistent terms and other similar arrangements entered into in the ordinary course of business from time to time;</w:t>
      </w:r>
    </w:p>
    <w:p>
      <w:pPr>
        <w:spacing w:after="0" w:line="119" w:lineRule="exact"/>
        <w:rPr>
          <w:rFonts w:ascii="Times New Roman" w:cs="Times New Roman" w:eastAsia="Times New Roman" w:hAnsi="Times New Roman"/>
          <w:sz w:val="18"/>
          <w:szCs w:val="18"/>
          <w:color w:val="auto"/>
        </w:rPr>
      </w:pPr>
    </w:p>
    <w:p>
      <w:pPr>
        <w:ind w:firstLine="1094"/>
        <w:spacing w:after="0" w:line="250" w:lineRule="auto"/>
        <w:tabs>
          <w:tab w:leader="none" w:pos="16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applicable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transactions between or among the Borrower, the Guarantors and their wholly-owned Subsidiaries that are otherwise permitted under this Agreement;</w:t>
      </w:r>
    </w:p>
    <w:p>
      <w:pPr>
        <w:spacing w:after="0" w:line="11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in the Borrower (including any related stockholders’ agreements);</w:t>
      </w:r>
    </w:p>
    <w:p>
      <w:pPr>
        <w:spacing w:after="0" w:line="160" w:lineRule="exact"/>
        <w:rPr>
          <w:rFonts w:ascii="Times New Roman" w:cs="Times New Roman" w:eastAsia="Times New Roman" w:hAnsi="Times New Roman"/>
          <w:sz w:val="18"/>
          <w:szCs w:val="18"/>
          <w:color w:val="auto"/>
        </w:rPr>
      </w:pPr>
    </w:p>
    <w:p>
      <w:pPr>
        <w:ind w:right="20" w:firstLine="1094"/>
        <w:spacing w:after="0" w:line="250" w:lineRule="auto"/>
        <w:tabs>
          <w:tab w:leader="none" w:pos="164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issuances of Qualified Capital Stock of the Borrower to Affiliates of the Borrower which are otherwise permitted or not restricted by the Loan Documents (including any related stockholders’ agreements); and</w:t>
      </w:r>
    </w:p>
    <w:p>
      <w:pPr>
        <w:spacing w:after="0" w:line="11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4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between any Person and an Affiliate of such Person existing at the time such Person is acquired by or merged into Borrower or its Subsidiaries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acquisition or merger and such Affiliate of such Person was not an Affiliate of the Borrower prior to such acquisition or merger.</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From and after the Closing Date, no Loan Party shall, nor shall it permit any of its Subsidiaries to, engage in any material line of business other than the businesses engaged in by such Loan Party or its Subsidiaries on the Closing Date or any business reasonably related, complementary, incidental, ancillary thereto or any reasonable extensions thereto.</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Changes to Organizational Documents</w:t>
      </w:r>
      <w:r>
        <w:rPr>
          <w:rFonts w:ascii="Times New Roman" w:cs="Times New Roman" w:eastAsia="Times New Roman" w:hAnsi="Times New Roman"/>
          <w:sz w:val="18"/>
          <w:szCs w:val="18"/>
          <w:color w:val="auto"/>
        </w:rPr>
        <w:t>. No Loan Party shall amend or permit any amendments to any Loan Party’s Organizational Documents in a manner that is materially adverse to the Administrative Agent or the Lenders in their capacities as such, including, without limitation, any amendment, modification or change to any of Loan Party’s Organizational Documents to effect a division of a domestic entity into two or more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- 99 -</w:t>
      </w:r>
    </w:p>
    <w:p>
      <w:pPr>
        <w:sectPr>
          <w:pgSz w:w="11900" w:h="16838" w:orient="portrait"/>
          <w:cols w:equalWidth="0" w:num="1">
            <w:col w:w="11260"/>
          </w:cols>
          <w:pgMar w:left="320" w:top="1207"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domestic entities under the Texas Business Organizations Code (or any similar statute or provision under applicable law).</w:t>
      </w:r>
    </w:p>
    <w:p>
      <w:pPr>
        <w:spacing w:after="0" w:line="160"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Accounting Methods</w:t>
      </w:r>
      <w:r>
        <w:rPr>
          <w:rFonts w:ascii="Times New Roman" w:cs="Times New Roman" w:eastAsia="Times New Roman" w:hAnsi="Times New Roman"/>
          <w:sz w:val="18"/>
          <w:szCs w:val="18"/>
          <w:color w:val="auto"/>
        </w:rPr>
        <w:t>. The Loan Parties will not and will not permit any of their Subsidiaries to modify or change its fiscal year or its method of accounting except in conformity with GAAP.</w:t>
      </w:r>
    </w:p>
    <w:p>
      <w:pPr>
        <w:spacing w:after="0" w:line="120" w:lineRule="exact"/>
        <w:rPr>
          <w:sz w:val="20"/>
          <w:szCs w:val="20"/>
          <w:color w:val="auto"/>
        </w:rPr>
      </w:pPr>
    </w:p>
    <w:p>
      <w:pPr>
        <w:jc w:val="both"/>
        <w:ind w:firstLine="551"/>
        <w:spacing w:after="0" w:line="217"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Prepayments of Certain Indebtedness</w:t>
      </w:r>
      <w:r>
        <w:rPr>
          <w:rFonts w:ascii="Times New Roman" w:cs="Times New Roman" w:eastAsia="Times New Roman" w:hAnsi="Times New Roman"/>
          <w:sz w:val="18"/>
          <w:szCs w:val="18"/>
          <w:color w:val="auto"/>
        </w:rPr>
        <w:t>. No Loan Party shall, directly or indirectly, voluntarily purchase, redeem, prepay, retire, defease (including in substance or legal defeasance), or make any sinking fund or similar payment with respect any principal (but not, for the avoidance of doubt, premium, scheduled interest and other amounts not constituting principal) in respect of any (a) Junior Debt that is in an aggregate principal amount outstanding in excess of $[***] prior to its scheduled due date, other than (i) converting (or exchanging) any Indebtedness to (or for) Qualified Capital Stock of Borrower, (ii) issuance of common stock (and cash in lieu of fractional shares in connection with such issuance) of the Borrower in connection with any conversion, exercise, repurchase, exchange, redemption, settlement or early termination or cancellation of Permitted Convertible Indebtedness, (iii) the issuance of Permitted Convertible Indebtedness that constitutes Permitted Refinancing Indebtedness in exchange for other Permitted Convertible Indebtedness, (iv) the redemption, purchase, exchange, early termination or cancellation of Permitted Convertible Indebtedness in an aggregate principal amount not to exceed the Net Proceeds received by the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the proceeds thereof are not applied for any other purpose and (v) as permitted under the applicable subordination agreement governing any subordinated Indebtedness or (b) any Permitted Receivables Indebtedness, other than as permitted by the applicable intercreditor agreement governing such Permitted Receivables Indebtedness.</w:t>
      </w:r>
    </w:p>
    <w:p>
      <w:pPr>
        <w:spacing w:after="0" w:line="136"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6.17</w:t>
      </w:r>
      <w:r>
        <w:rPr>
          <w:sz w:val="20"/>
          <w:szCs w:val="20"/>
          <w:color w:val="auto"/>
        </w:rPr>
        <w:tab/>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Loan Parties, nor any of their Subsidiaries or agents shall:</w:t>
      </w:r>
    </w:p>
    <w:p>
      <w:pPr>
        <w:spacing w:after="0" w:line="160" w:lineRule="exact"/>
        <w:rPr>
          <w:sz w:val="20"/>
          <w:szCs w:val="20"/>
          <w:color w:val="auto"/>
        </w:rPr>
      </w:pPr>
    </w:p>
    <w:p>
      <w:pPr>
        <w:ind w:firstLine="1094"/>
        <w:spacing w:after="0" w:line="250" w:lineRule="auto"/>
        <w:tabs>
          <w:tab w:leader="none" w:pos="16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business or engage in any transaction or dealing with any Sanctioned Person, including the making or receiving of any contribution of funds, goods or services to or for the benefit of any Sanctioned Person, in violation of applicable Sanctions,</w:t>
      </w:r>
    </w:p>
    <w:p>
      <w:pPr>
        <w:spacing w:after="0" w:line="116"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or otherwise engage in any transaction relating to, any property or interests in property blocked pursuant to applicable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w:t>
      </w:r>
    </w:p>
    <w:p>
      <w:pPr>
        <w:spacing w:after="0" w:line="140" w:lineRule="exact"/>
        <w:rPr>
          <w:rFonts w:ascii="Times New Roman" w:cs="Times New Roman" w:eastAsia="Times New Roman" w:hAnsi="Times New Roman"/>
          <w:sz w:val="18"/>
          <w:szCs w:val="18"/>
          <w:color w:val="auto"/>
        </w:rPr>
      </w:pPr>
    </w:p>
    <w:p>
      <w:pPr>
        <w:ind w:right="20" w:firstLine="1094"/>
        <w:spacing w:after="0" w:line="250" w:lineRule="auto"/>
        <w:tabs>
          <w:tab w:leader="none" w:pos="16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conspire to engage in any transaction that evades or avoids, or has the purpose of evading or avoiding, or attempts to violate, any applicable Sanctions.</w:t>
      </w:r>
    </w:p>
    <w:p>
      <w:pPr>
        <w:spacing w:after="0" w:line="12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 Loan Party shall use, or permit any of its Subsidiaries to use, directly or indirectly, any of the proceeds of any Loan for the purpose of an offer, payment, promise to pay, or authorization of the payment or giving of money, or anything else of value, to any Person in violation of any applicable Anti-Corruption Law.</w:t>
      </w:r>
    </w:p>
    <w:p>
      <w:pPr>
        <w:spacing w:after="0" w:line="129"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Loan Parties will not and will not permit any of their Subsidiaries to use the proceeds of any Loan to directly, or to any Loan Party’s knowledge after due care and inquiry, indirectly, to make any payments to a Sanctioned Person, to fund any investments, loans or contributions in, or otherwise make such proceeds available to, a Sanctioned Person, to fund any operations, activities or business of a Sanctioned Person or in any Sanctioned Country (in each case, in violation of applicable Sanctions) or in any other manner that would result in a violation of Sanctions by any Person and no part of the proceeds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- 100 -</w:t>
      </w:r>
    </w:p>
    <w:p>
      <w:pPr>
        <w:sectPr>
          <w:pgSz w:w="11900" w:h="16838" w:orient="portrait"/>
          <w:cols w:equalWidth="0" w:num="1">
            <w:col w:w="11260"/>
          </w:cols>
          <w:pgMar w:left="320" w:top="1207" w:right="319" w:bottom="1440" w:gutter="0" w:footer="0" w:header="0"/>
        </w:sectPr>
      </w:pPr>
    </w:p>
    <w:bookmarkStart w:id="151" w:name="page152"/>
    <w:bookmarkEnd w:id="151"/>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Loan will be used directly or, to any Loan Party’s knowledge after due care and inquiry, indirectly in furtherance of an offer, payment, promise to pay, or authorization of the payment or giving of money, or anything else of value, to any Person in violation of any Sanctions or Anti-Corruption Laws.</w:t>
      </w:r>
    </w:p>
    <w:p>
      <w:pPr>
        <w:spacing w:after="0" w:line="120" w:lineRule="exact"/>
        <w:rPr>
          <w:sz w:val="20"/>
          <w:szCs w:val="20"/>
          <w:color w:val="auto"/>
        </w:rPr>
      </w:pPr>
    </w:p>
    <w:p>
      <w:pPr>
        <w:ind w:left="5088"/>
        <w:spacing w:after="0"/>
        <w:rPr>
          <w:sz w:val="20"/>
          <w:szCs w:val="20"/>
          <w:color w:val="auto"/>
        </w:rPr>
      </w:pPr>
      <w:r>
        <w:rPr>
          <w:rFonts w:ascii="Times New Roman" w:cs="Times New Roman" w:eastAsia="Times New Roman" w:hAnsi="Times New Roman"/>
          <w:sz w:val="18"/>
          <w:szCs w:val="18"/>
          <w:color w:val="auto"/>
        </w:rPr>
        <w:t>Article VII</w:t>
      </w:r>
    </w:p>
    <w:p>
      <w:pPr>
        <w:spacing w:after="0" w:line="160" w:lineRule="exact"/>
        <w:rPr>
          <w:sz w:val="20"/>
          <w:szCs w:val="20"/>
          <w:color w:val="auto"/>
        </w:rPr>
      </w:pPr>
    </w:p>
    <w:p>
      <w:pPr>
        <w:ind w:left="5108"/>
        <w:spacing w:after="0"/>
        <w:rPr>
          <w:sz w:val="20"/>
          <w:szCs w:val="20"/>
          <w:color w:val="auto"/>
        </w:rPr>
      </w:pPr>
      <w:r>
        <w:rPr>
          <w:rFonts w:ascii="Times New Roman" w:cs="Times New Roman" w:eastAsia="Times New Roman" w:hAnsi="Times New Roman"/>
          <w:sz w:val="18"/>
          <w:szCs w:val="18"/>
          <w:color w:val="auto"/>
        </w:rPr>
        <w:t>GUARANTY</w:t>
      </w:r>
    </w:p>
    <w:p>
      <w:pPr>
        <w:spacing w:after="0" w:line="160" w:lineRule="exact"/>
        <w:rPr>
          <w:sz w:val="20"/>
          <w:szCs w:val="20"/>
          <w:color w:val="auto"/>
        </w:rPr>
      </w:pPr>
    </w:p>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Guaranty of the Obligations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Guarantors jointly and severally hereby irrevocably and 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8" w:firstLine="551"/>
        <w:spacing w:after="0" w:line="217"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Contribution by Guarantors</w:t>
      </w:r>
      <w:r>
        <w:rPr>
          <w:rFonts w:ascii="Times New Roman" w:cs="Times New Roman" w:eastAsia="Times New Roman" w:hAnsi="Times New Roman"/>
          <w:sz w:val="18"/>
          <w:szCs w:val="18"/>
          <w:color w:val="auto"/>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means, with respect to any Guarantor as of any date of determination, an amount equal to (a) the ratio of (i) the Fair Share Contribution Amount with respect to such Guarantor, to</w:t>
      </w:r>
    </w:p>
    <w:p>
      <w:pPr>
        <w:spacing w:after="0" w:line="3" w:lineRule="exact"/>
        <w:rPr>
          <w:sz w:val="20"/>
          <w:szCs w:val="20"/>
          <w:color w:val="auto"/>
        </w:rPr>
      </w:pPr>
    </w:p>
    <w:p>
      <w:pPr>
        <w:jc w:val="both"/>
        <w:ind w:left="8" w:hanging="8"/>
        <w:spacing w:after="0" w:line="216" w:lineRule="auto"/>
        <w:tabs>
          <w:tab w:leader="none" w:pos="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Fair Share Contribution Amounts with respect to all Guarantors multiplied by, (b) the aggregate amount paid or distributed on or before such date by all Guarantors under this Guaranty in respect of the Guaranteed Obligations. “</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provided, solely for purposes of calculating the “</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with respect to any Guarantor for purposes of this Section 7.2,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18"/>
          <w:szCs w:val="18"/>
          <w:u w:val="single" w:color="auto"/>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means, with respect to any Guarantor as of any date of determination, an amount equal to (A) the aggregate amount of all payments and distributions made on or before such date by such Guarantor in respect of this Guaranty (including, without limitation, in respect of this Section 7.2), minus (B) the aggregate amount of all payments received on or before such date by such Guarantor from the other Guarantors as contributions under this Section 7.2. The amounts payable as contributions hereunder shall be determined as of the date on which the related payment or distribution is made by the applicable Guarantor. The allocation among Guarantors of their obligations as set forth in this Section 7.2 shall not be construed in any way to limit the liability of any Guarantor hereunder. Each Guarantor is a third party beneficiary to the contribution agreement set forth in this Section 7.2.</w:t>
      </w:r>
    </w:p>
    <w:p>
      <w:pPr>
        <w:spacing w:after="0" w:line="130" w:lineRule="exact"/>
        <w:rPr>
          <w:sz w:val="20"/>
          <w:szCs w:val="20"/>
          <w:color w:val="auto"/>
        </w:rPr>
      </w:pPr>
    </w:p>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Payment by Guarantors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Guarantors hereby jointly and severally agree, in furtherance of the foregoing and not in limitation of any other right that any Beneficiary may have at law or in equity against any Guarantor by virtue hereof, that upon the failure of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- 101 -</w:t>
      </w:r>
    </w:p>
    <w:p>
      <w:pPr>
        <w:sectPr>
          <w:pgSz w:w="11900" w:h="16838" w:orient="portrait"/>
          <w:cols w:equalWidth="0" w:num="1">
            <w:col w:w="11268"/>
          </w:cols>
          <w:pgMar w:left="312" w:top="1207" w:right="319" w:bottom="1440" w:gutter="0" w:footer="0" w:header="0"/>
        </w:sectPr>
      </w:pPr>
    </w:p>
    <w:bookmarkStart w:id="152" w:name="page153"/>
    <w:bookmarkEnd w:id="152"/>
    <w:p>
      <w:pPr>
        <w:jc w:val="both"/>
        <w:spacing w:after="0" w:line="226" w:lineRule="auto"/>
        <w:rPr>
          <w:sz w:val="20"/>
          <w:szCs w:val="20"/>
          <w:color w:val="auto"/>
        </w:rPr>
      </w:pPr>
      <w:r>
        <w:rPr>
          <w:rFonts w:ascii="Times New Roman" w:cs="Times New Roman" w:eastAsia="Times New Roman" w:hAnsi="Times New Roman"/>
          <w:sz w:val="18"/>
          <w:szCs w:val="18"/>
          <w:color w:val="auto"/>
        </w:rPr>
        <w:t>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that, but for Borrower’s becoming the subject of a case under the Bankruptcy Code, would have accrued on such Guaranteed Obligations, whether or not a claim is allowed against Borrower for such interest in the related bankruptcy case) and all other Guaranteed Obligations then owed to Beneficiaries as aforesaid.</w:t>
      </w:r>
    </w:p>
    <w:p>
      <w:pPr>
        <w:spacing w:after="0" w:line="128"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Each Guarantor agrees that its obligations hereunder are irrevocable, absolute, independent and unconditional and shall not be affected by any circumstance that constitutes a legal or equitable discharge of a guarantor or surety other than payment in full of the Guaranteed Obligations. In furtherance of the foregoing and without limiting the generality thereof, each Guarantor agrees as follows:</w:t>
      </w:r>
    </w:p>
    <w:p>
      <w:pPr>
        <w:spacing w:after="0" w:line="129" w:lineRule="exact"/>
        <w:rPr>
          <w:sz w:val="20"/>
          <w:szCs w:val="20"/>
          <w:color w:val="auto"/>
        </w:rPr>
      </w:pPr>
    </w:p>
    <w:p>
      <w:pPr>
        <w:ind w:firstLine="1094"/>
        <w:spacing w:after="0" w:line="250" w:lineRule="auto"/>
        <w:tabs>
          <w:tab w:leader="none" w:pos="165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of collectability. This Guaranty is a primary obligation of each Guarantor and not merely a contract of surety;</w:t>
      </w:r>
    </w:p>
    <w:p>
      <w:pPr>
        <w:spacing w:after="0" w:line="119" w:lineRule="exact"/>
        <w:rPr>
          <w:rFonts w:ascii="Times New Roman" w:cs="Times New Roman" w:eastAsia="Times New Roman" w:hAnsi="Times New Roman"/>
          <w:sz w:val="18"/>
          <w:szCs w:val="18"/>
          <w:color w:val="auto"/>
        </w:rPr>
      </w:pPr>
    </w:p>
    <w:p>
      <w:pPr>
        <w:ind w:right="20" w:firstLine="1094"/>
        <w:spacing w:after="0" w:line="250" w:lineRule="auto"/>
        <w:tabs>
          <w:tab w:leader="none" w:pos="16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119" w:lineRule="exact"/>
        <w:rPr>
          <w:rFonts w:ascii="Times New Roman" w:cs="Times New Roman" w:eastAsia="Times New Roman" w:hAnsi="Times New Roman"/>
          <w:sz w:val="18"/>
          <w:szCs w:val="18"/>
          <w:color w:val="auto"/>
        </w:rPr>
      </w:pPr>
    </w:p>
    <w:p>
      <w:pPr>
        <w:jc w:val="both"/>
        <w:ind w:right="20" w:firstLine="1094"/>
        <w:spacing w:after="0" w:line="229" w:lineRule="auto"/>
        <w:tabs>
          <w:tab w:leader="none" w:pos="165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Borrower and the obligations of any other guarantor (including any other Guarantor) of the obligations of Borrower, and a separate action or actions may be brought and prosecuted against such Guarantor whether or not any action is brought against Borrower or any of such other guarantors and whether or not Borrower is joined in any such action or actions;</w:t>
      </w:r>
    </w:p>
    <w:p>
      <w:pPr>
        <w:spacing w:after="0" w:line="128"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that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32" w:lineRule="exact"/>
        <w:rPr>
          <w:rFonts w:ascii="Times New Roman" w:cs="Times New Roman" w:eastAsia="Times New Roman" w:hAnsi="Times New Roman"/>
          <w:sz w:val="18"/>
          <w:szCs w:val="18"/>
          <w:color w:val="auto"/>
        </w:rPr>
      </w:pPr>
    </w:p>
    <w:p>
      <w:pPr>
        <w:jc w:val="both"/>
        <w:ind w:firstLine="1094"/>
        <w:spacing w:after="0" w:line="218" w:lineRule="auto"/>
        <w:tabs>
          <w:tab w:leader="none" w:pos="165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w:t>
      </w:r>
    </w:p>
    <w:p>
      <w:pPr>
        <w:sectPr>
          <w:pgSz w:w="11900" w:h="16838" w:orient="portrait"/>
          <w:cols w:equalWidth="0" w:num="1">
            <w:col w:w="11260"/>
          </w:cols>
          <w:pgMar w:left="320" w:top="1207" w:right="319" w:bottom="1440" w:gutter="0" w:footer="0" w:header="0"/>
        </w:sectPr>
      </w:pPr>
    </w:p>
    <w:bookmarkStart w:id="153" w:name="page154"/>
    <w:bookmarkEnd w:id="153"/>
    <w:p>
      <w:pPr>
        <w:jc w:val="both"/>
        <w:ind w:left="8"/>
        <w:spacing w:after="0" w:line="229" w:lineRule="auto"/>
        <w:rPr>
          <w:sz w:val="20"/>
          <w:szCs w:val="20"/>
          <w:color w:val="auto"/>
        </w:rPr>
      </w:pPr>
      <w:r>
        <w:rPr>
          <w:rFonts w:ascii="Times New Roman" w:cs="Times New Roman" w:eastAsia="Times New Roman" w:hAnsi="Times New Roman"/>
          <w:sz w:val="18"/>
          <w:szCs w:val="18"/>
          <w:color w:val="auto"/>
        </w:rPr>
        <w:t>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Borrower or any security for the Guaranteed Obligations; and (vi) exercise any other rights available to it under the Loan Documents; and</w:t>
      </w:r>
    </w:p>
    <w:p>
      <w:pPr>
        <w:spacing w:after="0" w:line="129" w:lineRule="exact"/>
        <w:rPr>
          <w:sz w:val="20"/>
          <w:szCs w:val="20"/>
          <w:color w:val="auto"/>
        </w:rPr>
      </w:pPr>
    </w:p>
    <w:p>
      <w:pPr>
        <w:jc w:val="both"/>
        <w:ind w:left="8" w:firstLine="1094"/>
        <w:spacing w:after="0" w:line="216" w:lineRule="auto"/>
        <w:tabs>
          <w:tab w:leader="none" w:pos="166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that secures any of the Guaranteed Obligations; (vii) any defenses (other than a defense of payment or performance), set offs or counterclaims that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that may or might in any manner or to any extent vary the risk of any Guarantor as an obligor in respect of the Guaranteed Obligations.</w:t>
      </w:r>
    </w:p>
    <w:p>
      <w:pPr>
        <w:spacing w:after="0" w:line="132" w:lineRule="exact"/>
        <w:rPr>
          <w:sz w:val="20"/>
          <w:szCs w:val="20"/>
          <w:color w:val="auto"/>
        </w:rPr>
      </w:pPr>
    </w:p>
    <w:p>
      <w:pPr>
        <w:ind w:left="8" w:firstLine="551"/>
        <w:spacing w:after="0" w:line="224"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To the fullest extent it can do so in accordance with applicable Requirements of Law, each Guarantor hereby waives, for the benefit of Beneficiaries: (a) any right to require any Beneficiary, as a condition of payment or performance by such Guarantor, to</w:t>
      </w:r>
    </w:p>
    <w:p>
      <w:pPr>
        <w:spacing w:after="0" w:line="1" w:lineRule="exact"/>
        <w:rPr>
          <w:sz w:val="20"/>
          <w:szCs w:val="20"/>
          <w:color w:val="auto"/>
        </w:rPr>
      </w:pPr>
    </w:p>
    <w:p>
      <w:pPr>
        <w:jc w:val="both"/>
        <w:ind w:left="8" w:hanging="8"/>
        <w:spacing w:after="0" w:line="218" w:lineRule="auto"/>
        <w:tabs>
          <w:tab w:leader="none" w:pos="2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against Borrower, any other guarantor (including any other Guarantor) of the Guaranteed Obligations or any other Person, (ii) proceed against or exhaust any security held from Borrower, any such other guarantor or any other Person, (iii) proceed against or have resort to any balance of any Deposit Account or credit on the books of any Beneficiary in favor of Borrower or any other Person, or (iv) pursue any other remedy in the power of any Beneficiary whatsoever; (b) any defense arising by reason of the incapacity, lack of authority or any disability or other defense of Borrower or any other Guarantor including any defense based on or arising out of the lack of validity or the unenforceability of the Guaranteed Obligations or any agreement or instrument relating thereto or by reason of the cessation of the liability of Borrower or any other Guarantor from any cause other than payment in full in cash of the Guaranteed Obligations; (c) any defense based upon any statute or rule of law that provides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5488" w:hanging="101"/>
        <w:spacing w:after="0"/>
        <w:tabs>
          <w:tab w:leader="none" w:pos="548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ectPr>
          <w:pgSz w:w="11900" w:h="16838" w:orient="portrait"/>
          <w:cols w:equalWidth="0" w:num="1">
            <w:col w:w="11268"/>
          </w:cols>
          <w:pgMar w:left="312" w:top="1207" w:right="319" w:bottom="1440" w:gutter="0" w:footer="0" w:header="0"/>
        </w:sectPr>
      </w:pPr>
    </w:p>
    <w:bookmarkStart w:id="154" w:name="page155"/>
    <w:bookmarkEnd w:id="154"/>
    <w:p>
      <w:pPr>
        <w:jc w:val="both"/>
        <w:ind w:left="8"/>
        <w:spacing w:after="0" w:line="218" w:lineRule="auto"/>
        <w:rPr>
          <w:sz w:val="20"/>
          <w:szCs w:val="20"/>
          <w:color w:val="auto"/>
        </w:rPr>
      </w:pPr>
      <w:r>
        <w:rPr>
          <w:rFonts w:ascii="Times New Roman" w:cs="Times New Roman" w:eastAsia="Times New Roman" w:hAnsi="Times New Roman"/>
          <w:sz w:val="18"/>
          <w:szCs w:val="18"/>
          <w:color w:val="auto"/>
        </w:rPr>
        <w:t>that the obligation of a surety must be neither larger in amount nor in other respects more burdensome than that of the principal; (d) any defense based upon any Beneficiary’s errors or omissions in the administration of the Guaranteed Obligations, except behavior that amounts to bad faith; (e) (i) any principles or provisions of law, statutory or otherwise that are or might be in conflict with the terms hereof and any legal or equitable discharge of such Guarantor’s obligations hereunder, (ii) the benefit of any statute of limitations affecting such Guarantor’s liability hereunder or the enforcement hereof,</w:t>
      </w:r>
    </w:p>
    <w:p>
      <w:pPr>
        <w:spacing w:after="0" w:line="3" w:lineRule="exact"/>
        <w:rPr>
          <w:sz w:val="20"/>
          <w:szCs w:val="20"/>
          <w:color w:val="auto"/>
        </w:rPr>
      </w:pPr>
    </w:p>
    <w:p>
      <w:pPr>
        <w:jc w:val="both"/>
        <w:ind w:left="8" w:hanging="8"/>
        <w:spacing w:after="0" w:line="218" w:lineRule="auto"/>
        <w:tabs>
          <w:tab w:leader="none" w:pos="35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any right to consent to any thereof; and (g) any defenses or benefits that may be derived from or afforded by law (other than a defense of payment in full of the Guaranteed Obligations), that limit the liability of or exonerate guarantors or sureties or that may conflict with the terms hereof.</w:t>
      </w:r>
    </w:p>
    <w:p>
      <w:pPr>
        <w:spacing w:after="0" w:line="134" w:lineRule="exact"/>
        <w:rPr>
          <w:sz w:val="20"/>
          <w:szCs w:val="20"/>
          <w:color w:val="auto"/>
        </w:rPr>
      </w:pPr>
    </w:p>
    <w:p>
      <w:pPr>
        <w:jc w:val="both"/>
        <w:ind w:left="8" w:firstLine="551"/>
        <w:spacing w:after="0" w:line="21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Guarantors’ Rights of Subrogation, Contribution, Etc</w:t>
      </w:r>
      <w:r>
        <w:rPr>
          <w:rFonts w:ascii="Times New Roman" w:cs="Times New Roman" w:eastAsia="Times New Roman" w:hAnsi="Times New Roman"/>
          <w:sz w:val="18"/>
          <w:szCs w:val="18"/>
          <w:color w:val="auto"/>
        </w:rPr>
        <w:t xml:space="preserve">. Until the Guaranteed Obligations shall have been indefeasibly paid in cash in full, to the fullest extent it can do so in accordance with applicable Requirements of Law each Guarantor hereby waives any claim, right or remedy, direct or indirect, that such Guarantor now has or may hereafter have against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Borrower with respect to the Guaranteed Obligations, (b) 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indefeasibly paid in full,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to any rights any Beneficiary may have against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35" w:lineRule="exact"/>
        <w:rPr>
          <w:sz w:val="20"/>
          <w:szCs w:val="20"/>
          <w:color w:val="auto"/>
        </w:rPr>
      </w:pPr>
    </w:p>
    <w:p>
      <w:pPr>
        <w:jc w:val="both"/>
        <w:ind w:left="8"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Subordination of Other Obligations</w:t>
      </w:r>
      <w:r>
        <w:rPr>
          <w:rFonts w:ascii="Times New Roman" w:cs="Times New Roman" w:eastAsia="Times New Roman" w:hAnsi="Times New Roman"/>
          <w:sz w:val="18"/>
          <w:szCs w:val="18"/>
          <w:color w:val="auto"/>
        </w:rPr>
        <w:t>. Any Indebtedness of Borrower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Administrative Agent on behalf of the Beneficiaries and, upon demand by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- 104 -</w:t>
      </w:r>
    </w:p>
    <w:p>
      <w:pPr>
        <w:sectPr>
          <w:pgSz w:w="11900" w:h="16838" w:orient="portrait"/>
          <w:cols w:equalWidth="0" w:num="1">
            <w:col w:w="11268"/>
          </w:cols>
          <w:pgMar w:left="312" w:top="1207" w:right="319" w:bottom="1440" w:gutter="0" w:footer="0" w:header="0"/>
        </w:sectPr>
      </w:pPr>
    </w:p>
    <w:bookmarkStart w:id="155" w:name="page156"/>
    <w:bookmarkEnd w:id="155"/>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Continuing Guaranty</w:t>
      </w:r>
      <w:r>
        <w:rPr>
          <w:rFonts w:ascii="Times New Roman" w:cs="Times New Roman" w:eastAsia="Times New Roman" w:hAnsi="Times New Roman"/>
          <w:sz w:val="18"/>
          <w:szCs w:val="18"/>
          <w:color w:val="auto"/>
        </w:rPr>
        <w:t>. This Guaranty is a continuing guaranty and shall remain in effect until all of the Guaranteed Obligations shall have been indefeasibly paid in full. Each Guarantor hereby irrevocably waives any right to revoke this Guaranty as to future transactions giving rise to any Guaranteed Obligations.</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Authority of Guarantors or Borrower</w:t>
      </w:r>
      <w:r>
        <w:rPr>
          <w:rFonts w:ascii="Times New Roman" w:cs="Times New Roman" w:eastAsia="Times New Roman" w:hAnsi="Times New Roman"/>
          <w:sz w:val="18"/>
          <w:szCs w:val="18"/>
          <w:color w:val="auto"/>
        </w:rPr>
        <w:t>. It is not necessary for any Beneficiary to inquire into the capacity or powers of any Guarantor or Borrower or the officers, directors or agents acting or purporting to act on behalf of any of them.</w:t>
      </w:r>
    </w:p>
    <w:p>
      <w:pPr>
        <w:spacing w:after="0" w:line="120"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Financial Condition of Borrower</w:t>
      </w:r>
      <w:r>
        <w:rPr>
          <w:rFonts w:ascii="Times New Roman" w:cs="Times New Roman" w:eastAsia="Times New Roman" w:hAnsi="Times New Roman"/>
          <w:sz w:val="18"/>
          <w:szCs w:val="18"/>
          <w:color w:val="auto"/>
        </w:rPr>
        <w:t>. Any Credit Extension may be made to Borrower or continued from time to time without notice to or authorization from any Guarantor regardless of the financial or other condition of Borrower at the time of any such grant or continuation is entered into, as the case may be.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Loan Documents,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129"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3" w:lineRule="auto"/>
        <w:tabs>
          <w:tab w:leader="none" w:pos="165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Borrower or any other Guarantor or by any defense that Borrower or any other Guarantor may have by reason of the order, decree or decision of any court or administrative body resulting from any such proceeding.</w:t>
      </w:r>
    </w:p>
    <w:p>
      <w:pPr>
        <w:spacing w:after="0" w:line="132" w:lineRule="exact"/>
        <w:rPr>
          <w:rFonts w:ascii="Times New Roman" w:cs="Times New Roman" w:eastAsia="Times New Roman" w:hAnsi="Times New Roman"/>
          <w:sz w:val="18"/>
          <w:szCs w:val="18"/>
          <w:color w:val="auto"/>
        </w:rPr>
      </w:pPr>
    </w:p>
    <w:p>
      <w:pPr>
        <w:jc w:val="both"/>
        <w:ind w:firstLine="1094"/>
        <w:spacing w:after="0" w:line="221" w:lineRule="auto"/>
        <w:tabs>
          <w:tab w:leader="none" w:pos="16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and agrees that any interest on any portion of the Guaranteed Obligations that accrues after the commencement of any case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that are guaranteed by Guarantors pursuant hereto should be determined without regard to any rule of law or order that may relieve Borrower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ectPr>
          <w:pgSz w:w="11900" w:h="16838" w:orient="portrait"/>
          <w:cols w:equalWidth="0" w:num="1">
            <w:col w:w="11260"/>
          </w:cols>
          <w:pgMar w:left="320" w:top="1207" w:right="319" w:bottom="1440" w:gutter="0" w:footer="0" w:header="0"/>
        </w:sectPr>
      </w:pPr>
    </w:p>
    <w:bookmarkStart w:id="156" w:name="page157"/>
    <w:bookmarkEnd w:id="156"/>
    <w:p>
      <w:pPr>
        <w:jc w:val="both"/>
        <w:ind w:firstLine="1094"/>
        <w:spacing w:after="0" w:line="229" w:lineRule="auto"/>
        <w:tabs>
          <w:tab w:leader="none" w:pos="165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that are so rescinded or recovered shall constitute Guaranteed Obligations for all purposes hereunder.</w:t>
      </w:r>
    </w:p>
    <w:p>
      <w:pPr>
        <w:spacing w:after="0" w:line="129"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Discharge of Guaranty Upon Sale of Guarantor</w:t>
      </w:r>
      <w:r>
        <w:rPr>
          <w:rFonts w:ascii="Times New Roman" w:cs="Times New Roman" w:eastAsia="Times New Roman" w:hAnsi="Times New Roman"/>
          <w:sz w:val="18"/>
          <w:szCs w:val="18"/>
          <w:color w:val="auto"/>
        </w:rPr>
        <w:t xml:space="preserve">. If all of the Capital Stock of any Guarantor or any of its successors in interest hereunder shall be sold or otherwise disposed of (including by merger or consolidation) or if such Guarantor ceases to be a Subsidiary of the Borrower, in each case,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Capital Stock must not have been sold or otherwise disposed of, directly or indirectly, to any Affiliate of the Borrower, (ii) such applicable transaction must be for a legitimate bona fide business purpose (other than for purposes of releasing Guaranties or Collateral hereunder) and cannot be to contravene or circumvent the Collateral and Guaranty requirements under this Agreement, and (iii) such Guarantor does not own or exclusively license any Core Asset or Material Intellectual Property.</w:t>
      </w:r>
    </w:p>
    <w:p>
      <w:pPr>
        <w:spacing w:after="0" w:line="1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VIII</w:t>
      </w:r>
    </w:p>
    <w:p>
      <w:pPr>
        <w:spacing w:after="0" w:line="16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16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one or more of the following conditions or events shall occur:</w:t>
      </w:r>
    </w:p>
    <w:p>
      <w:pPr>
        <w:spacing w:after="0" w:line="160" w:lineRule="exact"/>
        <w:rPr>
          <w:sz w:val="20"/>
          <w:szCs w:val="20"/>
          <w:color w:val="auto"/>
        </w:rPr>
      </w:pPr>
    </w:p>
    <w:p>
      <w:pPr>
        <w:jc w:val="both"/>
        <w:ind w:firstLine="1094"/>
        <w:spacing w:after="0" w:line="234" w:lineRule="auto"/>
        <w:tabs>
          <w:tab w:leader="none" w:pos="165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Failure by Borrower to pay (i) the principal of and premium, if any, on any Term Loan when due whether at stated maturity, by acceleration or otherwise; or (ii) within [***] when due any interest on any Term Loan or any fee or any other amount due hereunder; or</w:t>
      </w:r>
    </w:p>
    <w:p>
      <w:pPr>
        <w:spacing w:after="0" w:line="129"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ml:space="preserve">. (i) Failure of any Loan Party or any Loan Party’s Subsidiaries (other than any Immaterial Subsidiary) to pay when due any principal of or interest on or any other amount payable in respect of one or more items of Indebtedness in an individual principal amount, put price or other accelerated amount of $[***]or more or with an aggregate principal amount, put price or other accelerated amount of $[***] or more, in each case beyond the grace period, if any, provided therefor, or (ii) breach or default by any Loan Party with respect to any other material term of (A) one or more items of Indebtedness in the individual or aggregate principal amounts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cause Borrower or any of Borrower’s Subsidiaries to make any offer to prepay, redeem, repurchase or defease such Indebtedness, prior to its stated maturity or the stated maturity of any underlying obligation,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(x) secured Indebtedness that becomes due as a result of the sale or transfer or other Asset Sale (including any casualty proceeds) of the property or assets securing such Indebtedness permitted hereunder and under the documents providing for such Indebtedness and such Indebtedness is repaid when required under the documents providing for such Indebtedness, (y) Indebtedness for which such failure, breach or default has been cured or waived in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ectPr>
          <w:pgSz w:w="11900" w:h="16838" w:orient="portrait"/>
          <w:cols w:equalWidth="0" w:num="1">
            <w:col w:w="11260"/>
          </w:cols>
          <w:pgMar w:left="320" w:top="1207" w:right="319" w:bottom="1440" w:gutter="0" w:footer="0" w:header="0"/>
        </w:sectPr>
      </w:pPr>
    </w:p>
    <w:bookmarkStart w:id="157" w:name="page158"/>
    <w:bookmarkEnd w:id="157"/>
    <w:p>
      <w:pPr>
        <w:ind w:right="20"/>
        <w:spacing w:after="0" w:line="250" w:lineRule="auto"/>
        <w:rPr>
          <w:sz w:val="20"/>
          <w:szCs w:val="20"/>
          <w:color w:val="auto"/>
        </w:rPr>
      </w:pPr>
      <w:r>
        <w:rPr>
          <w:rFonts w:ascii="Times New Roman" w:cs="Times New Roman" w:eastAsia="Times New Roman" w:hAnsi="Times New Roman"/>
          <w:sz w:val="18"/>
          <w:szCs w:val="18"/>
          <w:color w:val="auto"/>
        </w:rPr>
        <w:t>accordance with the terms of the applicable Indebtedness or (z) any early payment requirement or unwinding or termination with respect to any Permitted Equity Derivatives; or</w:t>
      </w:r>
    </w:p>
    <w:p>
      <w:pPr>
        <w:spacing w:after="0" w:line="120" w:lineRule="exact"/>
        <w:rPr>
          <w:sz w:val="20"/>
          <w:szCs w:val="20"/>
          <w:color w:val="auto"/>
        </w:rPr>
      </w:pPr>
    </w:p>
    <w:p>
      <w:pPr>
        <w:ind w:firstLine="1094"/>
        <w:spacing w:after="0" w:line="250" w:lineRule="auto"/>
        <w:tabs>
          <w:tab w:leader="none" w:pos="16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Failure of any Loan Party to perform or comply with any term or condition contained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or</w:t>
      </w:r>
    </w:p>
    <w:p>
      <w:pPr>
        <w:spacing w:after="0" w:line="119"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xml:space="preserve"> Any representation, warranty, certification or other statement made or deemed made by any Loan Party in any Loan Document or in any statement or certificate at any time given by any Loan Party or any of their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in the text thereof, which representations and warranties shall be true and correct in all respects subject to such qualification) as of the date made or deemed made; or</w:t>
      </w:r>
    </w:p>
    <w:p>
      <w:pPr>
        <w:spacing w:after="0" w:line="127" w:lineRule="exact"/>
        <w:rPr>
          <w:rFonts w:ascii="Times New Roman" w:cs="Times New Roman" w:eastAsia="Times New Roman" w:hAnsi="Times New Roman"/>
          <w:sz w:val="18"/>
          <w:szCs w:val="18"/>
          <w:color w:val="auto"/>
        </w:rPr>
      </w:pPr>
    </w:p>
    <w:p>
      <w:pPr>
        <w:jc w:val="both"/>
        <w:ind w:right="20" w:firstLine="1094"/>
        <w:spacing w:after="0" w:line="229" w:lineRule="auto"/>
        <w:tabs>
          <w:tab w:leader="none" w:pos="16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such default shall not have been remedied or waived within [***] after the earlier of (i) any Responsible Officer of such Loan Party becoming aware of such default, or (ii) receipt by Borrower of notice from Administrative Agent or any Lender of such default; or</w:t>
      </w:r>
    </w:p>
    <w:p>
      <w:pPr>
        <w:spacing w:after="0" w:line="128" w:lineRule="exact"/>
        <w:rPr>
          <w:rFonts w:ascii="Times New Roman" w:cs="Times New Roman" w:eastAsia="Times New Roman" w:hAnsi="Times New Roman"/>
          <w:sz w:val="18"/>
          <w:szCs w:val="18"/>
          <w:color w:val="auto"/>
        </w:rPr>
      </w:pPr>
    </w:p>
    <w:p>
      <w:pPr>
        <w:jc w:val="both"/>
        <w:ind w:firstLine="1094"/>
        <w:spacing w:after="0" w:line="218" w:lineRule="auto"/>
        <w:tabs>
          <w:tab w:leader="none" w:pos="165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xml:space="preserve"> (i) A court of competent jurisdiction shall enter a decree or order for relief in respect of Borrower or any of its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 other officer having similar powers over Borrower or any of its Subsidiaries ([***]), or over all or a substantial part of its property, shall have been entered; or there shall have occurred the involuntary appointment of an interim receiver, administrator, trustee or other custodian of Borrowers or any of its Subsidiaries ([***]) for all or a substantial part of its property; or a warrant of attachment, execution or similar process shall have been issued against any substantial part of the property of Borrower or any of its Subsidiaries (other than any Immaterial Subsidiary), and any such event described in the foregoing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continue for [***] without having been dismissed, bonded or discharged; or</w:t>
      </w:r>
    </w:p>
    <w:p>
      <w:pPr>
        <w:spacing w:after="0" w:line="136" w:lineRule="exact"/>
        <w:rPr>
          <w:rFonts w:ascii="Times New Roman" w:cs="Times New Roman" w:eastAsia="Times New Roman" w:hAnsi="Times New Roman"/>
          <w:sz w:val="18"/>
          <w:szCs w:val="18"/>
          <w:color w:val="auto"/>
        </w:rPr>
      </w:pPr>
    </w:p>
    <w:p>
      <w:pPr>
        <w:jc w:val="both"/>
        <w:ind w:firstLine="1094"/>
        <w:spacing w:after="0" w:line="221" w:lineRule="auto"/>
        <w:tabs>
          <w:tab w:leader="none" w:pos="16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xml:space="preserve"> (i) Borrower or any of its Subsidiaries ([***])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 shall make any assignment for the benefit of creditors; or (ii) Borrower or any of its Subsidiaries ([***]) shall be unable, or shall fail generally, or shall admit in writing its inability, to pay its debts as such debts become due; or the Board of Directors (or similar governing body) of Borrower or any of its Subsidiaries ([***]) shall adopt any resolution or otherwise authorize any action to approve any of the actions referred to herein or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w:t>
      </w:r>
    </w:p>
    <w:p>
      <w:pPr>
        <w:sectPr>
          <w:pgSz w:w="11900" w:h="16838" w:orient="portrait"/>
          <w:cols w:equalWidth="0" w:num="1">
            <w:col w:w="11260"/>
          </w:cols>
          <w:pgMar w:left="320" w:top="1208" w:right="319" w:bottom="1440" w:gutter="0" w:footer="0" w:header="0"/>
        </w:sectPr>
      </w:pPr>
    </w:p>
    <w:bookmarkStart w:id="158" w:name="page159"/>
    <w:bookmarkEnd w:id="158"/>
    <w:p>
      <w:pPr>
        <w:jc w:val="both"/>
        <w:ind w:firstLine="1094"/>
        <w:spacing w:after="0" w:line="229" w:lineRule="auto"/>
        <w:tabs>
          <w:tab w:leader="none" w:pos="165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Any money judgment, writ or warrant of attachment or similar process involving (a) in any individual case an amount in excess of $[***]or (b) in the aggregate at any time an amount in excess of $[***] (in any case to the extent not adequately covered by insurance as to which a solvent and unaffiliated insurance company has not denied coverage) shall be entered or filed against Borrower or any of its Subsidiaries ([***]) or any of their respective assets and shall remain undischarged, unvacated, unbonded or unstayed for a period of [***]; or</w:t>
      </w:r>
    </w:p>
    <w:p>
      <w:pPr>
        <w:spacing w:after="0" w:line="128"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4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Any order, judgment or decree shall be entered against the Borrower or any of its Subsidiaries ([***]) decreeing the dissolution or split up of such Loan Party or any of its Subsidiaries ([***]) and such order shall remain undischarged or unstayed for a period in excess of [***]; or</w:t>
      </w:r>
    </w:p>
    <w:p>
      <w:pPr>
        <w:spacing w:after="0" w:line="12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 or</w:t>
      </w:r>
    </w:p>
    <w:p>
      <w:pPr>
        <w:spacing w:after="0" w:line="160" w:lineRule="exact"/>
        <w:rPr>
          <w:rFonts w:ascii="Times New Roman" w:cs="Times New Roman" w:eastAsia="Times New Roman" w:hAnsi="Times New Roman"/>
          <w:sz w:val="18"/>
          <w:szCs w:val="18"/>
          <w:color w:val="auto"/>
        </w:rPr>
      </w:pPr>
    </w:p>
    <w:p>
      <w:pPr>
        <w:jc w:val="both"/>
        <w:ind w:firstLine="1094"/>
        <w:spacing w:after="0" w:line="219" w:lineRule="auto"/>
        <w:tabs>
          <w:tab w:leader="none" w:pos="165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At any time after the execution and delivery thereof, (i) 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significant portion of the Collateral (it being understood that any Collateral with an aggregate value in excess of $[***] shall be considered significant)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32"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firstLine="1094"/>
        <w:spacing w:after="0" w:line="250" w:lineRule="auto"/>
        <w:tabs>
          <w:tab w:leader="none" w:pos="164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occurrence of any ERISA Event that, individually or in the aggregate, has resulted or would reasonably be expected to result in a Material Adverse Effect; or</w:t>
      </w:r>
    </w:p>
    <w:p>
      <w:pPr>
        <w:spacing w:after="0" w:line="11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t>
      </w:r>
    </w:p>
    <w:p>
      <w:pPr>
        <w:spacing w:after="0" w:line="160"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and during the continuance of any Event of Default, Administrative Agent may, and shall at the request of the Required Lenders:</w:t>
      </w:r>
    </w:p>
    <w:p>
      <w:pPr>
        <w:spacing w:after="0" w:line="120" w:lineRule="exact"/>
        <w:rPr>
          <w:sz w:val="20"/>
          <w:szCs w:val="20"/>
          <w:color w:val="auto"/>
        </w:rPr>
      </w:pPr>
    </w:p>
    <w:p>
      <w:pPr>
        <w:jc w:val="both"/>
        <w:ind w:firstLine="1094"/>
        <w:spacing w:after="0" w:line="234" w:lineRule="auto"/>
        <w:tabs>
          <w:tab w:leader="none" w:pos="165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Term Loans, all interest accrued and unpaid thereon, any applicable Prepayment Premium, and all other amounts owing or payable hereunder or under any other Loan Document to be immediately due and payable; without presentment, demand, protest or other notice of any kind, all of which are hereby expressly waived by each Loan Party; and</w:t>
      </w:r>
    </w:p>
    <w:p>
      <w:pPr>
        <w:spacing w:after="0" w:line="129" w:lineRule="exact"/>
        <w:rPr>
          <w:rFonts w:ascii="Times New Roman" w:cs="Times New Roman" w:eastAsia="Times New Roman" w:hAnsi="Times New Roman"/>
          <w:sz w:val="18"/>
          <w:szCs w:val="18"/>
          <w:color w:val="auto"/>
        </w:rPr>
      </w:pPr>
    </w:p>
    <w:p>
      <w:pPr>
        <w:ind w:right="20" w:firstLine="1094"/>
        <w:spacing w:after="0" w:line="250" w:lineRule="auto"/>
        <w:tabs>
          <w:tab w:leader="none" w:pos="165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ectPr>
          <w:pgSz w:w="11900" w:h="16838" w:orient="portrait"/>
          <w:cols w:equalWidth="0" w:num="1">
            <w:col w:w="11260"/>
          </w:cols>
          <w:pgMar w:left="320" w:top="1207" w:right="319" w:bottom="1440" w:gutter="0" w:footer="0" w:header="0"/>
        </w:sectPr>
      </w:pPr>
    </w:p>
    <w:bookmarkStart w:id="159" w:name="page160"/>
    <w:bookmarkEnd w:id="159"/>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event specified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2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Rights Not Exclusive</w:t>
      </w:r>
      <w:r>
        <w:rPr>
          <w:rFonts w:ascii="Times New Roman" w:cs="Times New Roman" w:eastAsia="Times New Roman" w:hAnsi="Times New Roman"/>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IX</w:t>
      </w:r>
    </w:p>
    <w:p>
      <w:pPr>
        <w:spacing w:after="0" w:line="16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16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Appointment of Administrative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6" w:lineRule="auto"/>
        <w:tabs>
          <w:tab w:leader="none" w:pos="16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Owl is hereby appointed Administrative Agent hereunder and under the other Loan Documents and each Lender hereby authorizes Blue Owl,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27"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hereby agrees to act upon the express conditions contained herein and the other Loan Documents, as applicable.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spacing w:after="0" w:line="128"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spacing w:after="0" w:line="129"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8"/>
          <w:szCs w:val="18"/>
          <w:u w:val="single" w:color="auto"/>
          <w:color w:val="auto"/>
        </w:rPr>
        <w:t>General Immunity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9" w:lineRule="auto"/>
        <w:tabs>
          <w:tab w:leader="none" w:pos="165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for Certain Matters</w:t>
      </w:r>
      <w:r>
        <w:rPr>
          <w:rFonts w:ascii="Times New Roman" w:cs="Times New Roman" w:eastAsia="Times New Roman" w:hAnsi="Times New Roman"/>
          <w:sz w:val="18"/>
          <w:szCs w:val="18"/>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ectPr>
          <w:pgSz w:w="11900" w:h="16838" w:orient="portrait"/>
          <w:cols w:equalWidth="0" w:num="1">
            <w:col w:w="11260"/>
          </w:cols>
          <w:pgMar w:left="320" w:top="1208" w:right="319" w:bottom="1440" w:gutter="0" w:footer="0" w:header="0"/>
        </w:sectPr>
      </w:pPr>
    </w:p>
    <w:bookmarkStart w:id="160" w:name="page161"/>
    <w:bookmarkEnd w:id="160"/>
    <w:p>
      <w:pPr>
        <w:jc w:val="both"/>
        <w:spacing w:after="0" w:line="223" w:lineRule="auto"/>
        <w:rPr>
          <w:sz w:val="20"/>
          <w:szCs w:val="20"/>
          <w:color w:val="auto"/>
        </w:rPr>
      </w:pPr>
      <w:r>
        <w:rPr>
          <w:rFonts w:ascii="Times New Roman" w:cs="Times New Roman" w:eastAsia="Times New Roman" w:hAnsi="Times New Roman"/>
          <w:sz w:val="18"/>
          <w:szCs w:val="18"/>
          <w:color w:val="auto"/>
        </w:rPr>
        <w:t>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32" w:lineRule="exact"/>
        <w:rPr>
          <w:sz w:val="20"/>
          <w:szCs w:val="20"/>
          <w:color w:val="auto"/>
        </w:rPr>
      </w:pPr>
    </w:p>
    <w:p>
      <w:pPr>
        <w:jc w:val="both"/>
        <w:ind w:firstLine="1094"/>
        <w:spacing w:after="0" w:line="217" w:lineRule="auto"/>
        <w:tabs>
          <w:tab w:leader="none" w:pos="165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jc w:val="both"/>
        <w:ind w:firstLine="1094"/>
        <w:spacing w:after="0" w:line="221" w:lineRule="auto"/>
        <w:tabs>
          <w:tab w:leader="none" w:pos="165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spacing w:after="0" w:line="129"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Administrative Agent Entitled to Act as Lender</w:t>
      </w:r>
      <w:r>
        <w:rPr>
          <w:rFonts w:ascii="Times New Roman" w:cs="Times New Roman" w:eastAsia="Times New Roman" w:hAnsi="Times New Roman"/>
          <w:sz w:val="18"/>
          <w:szCs w:val="18"/>
          <w:color w:val="auto"/>
        </w:rPr>
        <w:t>. 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- 110 -</w:t>
      </w:r>
    </w:p>
    <w:p>
      <w:pPr>
        <w:sectPr>
          <w:pgSz w:w="11900" w:h="16838" w:orient="portrait"/>
          <w:cols w:equalWidth="0" w:num="1">
            <w:col w:w="11260"/>
          </w:cols>
          <w:pgMar w:left="320" w:top="1207" w:right="319" w:bottom="1440" w:gutter="0" w:footer="0" w:header="0"/>
        </w:sectPr>
      </w:pPr>
    </w:p>
    <w:bookmarkStart w:id="161" w:name="page162"/>
    <w:bookmarkEnd w:id="161"/>
    <w:p>
      <w:pPr>
        <w:jc w:val="both"/>
        <w:spacing w:after="0" w:line="229" w:lineRule="auto"/>
        <w:rPr>
          <w:sz w:val="20"/>
          <w:szCs w:val="20"/>
          <w:color w:val="auto"/>
        </w:rPr>
      </w:pPr>
      <w:r>
        <w:rPr>
          <w:rFonts w:ascii="Times New Roman" w:cs="Times New Roman" w:eastAsia="Times New Roman" w:hAnsi="Times New Roman"/>
          <w:sz w:val="18"/>
          <w:szCs w:val="18"/>
          <w:color w:val="auto"/>
        </w:rPr>
        <w:t>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Borrower for services in connection herewith and otherwise without having to account for the same to Lenders.</w:t>
      </w:r>
    </w:p>
    <w:p>
      <w:pPr>
        <w:spacing w:after="0" w:line="129"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8"/>
          <w:szCs w:val="18"/>
          <w:u w:val="single" w:color="auto"/>
          <w:color w:val="auto"/>
        </w:rPr>
        <w:t>Lenders’ Representations, Warranties and Acknowledgment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3" w:lineRule="auto"/>
        <w:tabs>
          <w:tab w:leader="none" w:pos="16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32"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spacing w:after="0" w:line="129" w:lineRule="exact"/>
        <w:rPr>
          <w:sz w:val="20"/>
          <w:szCs w:val="20"/>
          <w:color w:val="auto"/>
        </w:rPr>
      </w:pPr>
    </w:p>
    <w:p>
      <w:pPr>
        <w:jc w:val="both"/>
        <w:ind w:firstLine="551"/>
        <w:spacing w:after="0" w:line="21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Right to Indemnity</w:t>
      </w:r>
      <w:r>
        <w:rPr>
          <w:rFonts w:ascii="Times New Roman" w:cs="Times New Roman" w:eastAsia="Times New Roman" w:hAnsi="Times New Roman"/>
          <w:sz w:val="18"/>
          <w:szCs w:val="18"/>
          <w:color w:val="auto"/>
        </w:rPr>
        <w:t>. EACH LENDER, IN PROPORTION TO ITS PRO RATA SHARE, SEVERALLY AGREES TO INDEMNIFY ADMINISTRATIVE AGENT, ITS AFFILIATES AND ITS RESPECTIVE OFFICERS, PARTNERS, DIRECTORS, TRUSTEES, EMPLOYEES AND AGENTS OF ADMINISTRATIVE AGENT (EACH, AN “</w:t>
      </w:r>
      <w:r>
        <w:rPr>
          <w:rFonts w:ascii="Times New Roman" w:cs="Times New Roman" w:eastAsia="Times New Roman" w:hAnsi="Times New Roman"/>
          <w:sz w:val="18"/>
          <w:szCs w:val="18"/>
          <w:u w:val="single" w:color="auto"/>
          <w:color w:val="auto"/>
        </w:rPr>
        <w:t>INDEMNITEE AGENT PARTY</w:t>
      </w:r>
      <w:r>
        <w:rPr>
          <w:rFonts w:ascii="Times New Roman" w:cs="Times New Roman" w:eastAsia="Times New Roman" w:hAnsi="Times New Roman"/>
          <w:sz w:val="18"/>
          <w:szCs w:val="18"/>
          <w:color w:val="auto"/>
        </w:rPr>
        <w:t xml:space="preserve">”),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THAT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 </w:t>
      </w:r>
      <w:r>
        <w:rPr>
          <w:rFonts w:ascii="Times New Roman" w:cs="Times New Roman" w:eastAsia="Times New Roman" w:hAnsi="Times New Roman"/>
          <w:sz w:val="18"/>
          <w:szCs w:val="18"/>
          <w:b w:val="1"/>
          <w:bCs w:val="1"/>
          <w:color w:val="auto"/>
        </w:rPr>
        <w:t>IN ALL CASES, WHETHER OR NOT CAUSED BY OR ARISING, IN WHOLE OR IN PART, OUT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COMPARATIVE, CONTRIBUTORY, OR SOLE NEGLIGENCE OF SUCH INDEMNITEE AGENT PARTY</w:t>
      </w:r>
      <w:r>
        <w:rPr>
          <w:rFonts w:ascii="Times New Roman" w:cs="Times New Roman" w:eastAsia="Times New Roman" w:hAnsi="Times New Roman"/>
          <w:sz w:val="18"/>
          <w:szCs w:val="18"/>
          <w:color w:val="auto"/>
        </w:rPr>
        <w:t>; PROVIDED, NO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PROVIDED, IN NO EVENT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- 111 -</w:t>
      </w:r>
    </w:p>
    <w:p>
      <w:pPr>
        <w:sectPr>
          <w:pgSz w:w="11900" w:h="16838" w:orient="portrait"/>
          <w:cols w:equalWidth="0" w:num="1">
            <w:col w:w="11260"/>
          </w:cols>
          <w:pgMar w:left="320" w:top="1207" w:right="319" w:bottom="1440" w:gutter="0" w:footer="0" w:header="0"/>
        </w:sectPr>
      </w:pPr>
    </w:p>
    <w:bookmarkStart w:id="162" w:name="page163"/>
    <w:bookmarkEnd w:id="162"/>
    <w:p>
      <w:pPr>
        <w:jc w:val="both"/>
        <w:spacing w:after="0" w:line="226" w:lineRule="auto"/>
        <w:rPr>
          <w:sz w:val="20"/>
          <w:szCs w:val="20"/>
          <w:color w:val="auto"/>
        </w:rPr>
      </w:pPr>
      <w:r>
        <w:rPr>
          <w:rFonts w:ascii="Times New Roman" w:cs="Times New Roman" w:eastAsia="Times New Roman" w:hAnsi="Times New Roman"/>
          <w:sz w:val="18"/>
          <w:szCs w:val="18"/>
          <w:color w:val="auto"/>
        </w:rPr>
        <w:t>THIS SENTENCE REQUIRE ANY LENDER TO INDEMNIFY ANY INDEMNITEE AGENT PARTY AGAINST ANY LIABILITY, OBLIGATION, LOSS, DAMAGE, PENALTY, ACTION, JUDGMENT, SUIT, COST, EXPENSE OR DISBURSEMENT IN EXCESS OF SUCH LENDER’S PRO RATA SHARE THEREOF; AND PROVIDED FURTHER,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9.7</w:t>
      </w:r>
      <w:r>
        <w:rPr>
          <w:sz w:val="20"/>
          <w:szCs w:val="20"/>
          <w:color w:val="auto"/>
        </w:rPr>
        <w:tab/>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31" w:lineRule="auto"/>
        <w:tabs>
          <w:tab w:leader="none" w:pos="165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may resign at any time by giving [***] (or such shorter period as shall be agreed by the Required Lenders) prior written notice thereof to Lenders and Borrower. Upon any such notice of resignation, Required Lenders shall have the right, upon [***] notice to Borrower and subject to the Borrower’s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if an Event of Default shall have occurred and be continuing), to appoint a successor Administrative Agent. If no successor shall have been so appointed by the Required Lenders and shall have accepted such appointment within [***]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inure to its benefit as to any actions taken or omitted to be taken by it while it was Administrative Agent hereunder.</w:t>
      </w:r>
    </w:p>
    <w:p>
      <w:pPr>
        <w:spacing w:after="0" w:line="134" w:lineRule="exact"/>
        <w:rPr>
          <w:rFonts w:ascii="Times New Roman" w:cs="Times New Roman" w:eastAsia="Times New Roman" w:hAnsi="Times New Roman"/>
          <w:sz w:val="18"/>
          <w:szCs w:val="18"/>
          <w:color w:val="auto"/>
        </w:rPr>
      </w:pPr>
    </w:p>
    <w:p>
      <w:pPr>
        <w:jc w:val="both"/>
        <w:ind w:firstLine="1094"/>
        <w:spacing w:after="0"/>
        <w:tabs>
          <w:tab w:leader="none" w:pos="165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Administrative Agent may assign its rights and duties as Administrative Agent, as applicable, hereunder to an Affiliate of Blue Owl without the prior written consent of, or prior written notice to, Borrower or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and the Lenders may deem and treat such assigning Administrative Agent as Administrative Agent for all purposes hereof, unless and until such assigning Administrative Agent provides written notice to Borrower and the Lenders of such assignment. Upon such assignment such Affiliate shall succeed to and become vested with all rights, powers, privileges and duties as Administrative Agent hereunder and under the other Loan Documents.</w:t>
      </w:r>
    </w:p>
    <w:p>
      <w:pPr>
        <w:spacing w:after="0" w:line="251"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apply to any of the Affiliates of Administrative Agent. All of the rights, benefits and privileges (including the exculpatory and indemnification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480" w:hanging="97"/>
        <w:spacing w:after="0"/>
        <w:tabs>
          <w:tab w:leader="none" w:pos="54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w:t>
      </w:r>
    </w:p>
    <w:p>
      <w:pPr>
        <w:sectPr>
          <w:pgSz w:w="11900" w:h="16838" w:orient="portrait"/>
          <w:cols w:equalWidth="0" w:num="1">
            <w:col w:w="11260"/>
          </w:cols>
          <w:pgMar w:left="320" w:top="1208" w:right="319" w:bottom="1440" w:gutter="0" w:footer="0" w:header="0"/>
        </w:sectPr>
      </w:pPr>
    </w:p>
    <w:bookmarkStart w:id="163" w:name="page164"/>
    <w:bookmarkEnd w:id="163"/>
    <w:p>
      <w:pPr>
        <w:jc w:val="both"/>
        <w:ind w:left="8"/>
        <w:spacing w:after="0" w:line="216" w:lineRule="auto"/>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permitted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w:t>
      </w:r>
    </w:p>
    <w:p>
      <w:pPr>
        <w:spacing w:after="0" w:line="5" w:lineRule="exact"/>
        <w:rPr>
          <w:sz w:val="20"/>
          <w:szCs w:val="20"/>
          <w:color w:val="auto"/>
        </w:rPr>
      </w:pPr>
    </w:p>
    <w:p>
      <w:pPr>
        <w:jc w:val="both"/>
        <w:ind w:left="8" w:hanging="8"/>
        <w:spacing w:after="0"/>
        <w:tabs>
          <w:tab w:leader="none" w:pos="2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278" w:lineRule="exact"/>
        <w:rPr>
          <w:sz w:val="20"/>
          <w:szCs w:val="20"/>
          <w:color w:val="auto"/>
        </w:rPr>
      </w:pPr>
    </w:p>
    <w:p>
      <w:pPr>
        <w:ind w:left="548"/>
        <w:spacing w:after="0"/>
        <w:tabs>
          <w:tab w:leader="none" w:pos="1628" w:val="left"/>
        </w:tabs>
        <w:rPr>
          <w:sz w:val="20"/>
          <w:szCs w:val="20"/>
          <w:color w:val="auto"/>
        </w:rPr>
      </w:pPr>
      <w:r>
        <w:rPr>
          <w:rFonts w:ascii="Times New Roman" w:cs="Times New Roman" w:eastAsia="Times New Roman" w:hAnsi="Times New Roman"/>
          <w:sz w:val="18"/>
          <w:szCs w:val="18"/>
          <w:color w:val="auto"/>
        </w:rPr>
        <w:t>Section 9.8</w:t>
      </w:r>
      <w:r>
        <w:rPr>
          <w:sz w:val="20"/>
          <w:szCs w:val="20"/>
          <w:color w:val="auto"/>
        </w:rPr>
        <w:tab/>
      </w:r>
      <w:r>
        <w:rPr>
          <w:rFonts w:ascii="Times New Roman" w:cs="Times New Roman" w:eastAsia="Times New Roman" w:hAnsi="Times New Roman"/>
          <w:sz w:val="18"/>
          <w:szCs w:val="18"/>
          <w:u w:val="single" w:color="auto"/>
          <w:color w:val="auto"/>
        </w:rPr>
        <w:t>Collateral Documents and Guaranty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8" w:firstLine="1094"/>
        <w:spacing w:after="0" w:line="222" w:lineRule="auto"/>
        <w:tabs>
          <w:tab w:leader="none" w:pos="16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under Collateral Documents and Guaranty</w:t>
      </w:r>
      <w:r>
        <w:rPr>
          <w:rFonts w:ascii="Times New Roman" w:cs="Times New Roman" w:eastAsia="Times New Roman" w:hAnsi="Times New Roman"/>
          <w:sz w:val="18"/>
          <w:szCs w:val="18"/>
          <w:color w:val="auto"/>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without further written consent or authorization from Lenders, Administrative Agent may execute any documents or instruments necessary to (A) release any Lien encumbering any item of Collateral that is the subject of an Asset Sale or other sale or disposition of assets permitted hereby or to which Required Lenders (or such other Lenders as may be required to give such consent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have otherwise consented, or (B) release any Guarantor from the Guaranty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or with respect to which Required Lenders (or such other Lenders as may be required to give such consent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have otherwise consented.</w:t>
      </w:r>
    </w:p>
    <w:p>
      <w:pPr>
        <w:spacing w:after="0" w:line="129" w:lineRule="exact"/>
        <w:rPr>
          <w:rFonts w:ascii="Times New Roman" w:cs="Times New Roman" w:eastAsia="Times New Roman" w:hAnsi="Times New Roman"/>
          <w:sz w:val="18"/>
          <w:szCs w:val="18"/>
          <w:color w:val="auto"/>
        </w:rPr>
      </w:pPr>
    </w:p>
    <w:p>
      <w:pPr>
        <w:jc w:val="both"/>
        <w:ind w:left="8" w:firstLine="1094"/>
        <w:spacing w:after="0" w:line="219" w:lineRule="auto"/>
        <w:tabs>
          <w:tab w:leader="none" w:pos="165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Realize on Collateral and Enforce Guaranty</w:t>
      </w:r>
      <w:r>
        <w:rPr>
          <w:rFonts w:ascii="Times New Roman" w:cs="Times New Roman" w:eastAsia="Times New Roman" w:hAnsi="Times New Roman"/>
          <w:sz w:val="18"/>
          <w:szCs w:val="18"/>
          <w:color w:val="auto"/>
        </w:rPr>
        <w:t>. Anything contained in any of the Loan Documents to the contrary notwithstanding, Borrower,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spacing w:after="0" w:line="132" w:lineRule="exact"/>
        <w:rPr>
          <w:sz w:val="20"/>
          <w:szCs w:val="20"/>
          <w:color w:val="auto"/>
        </w:rPr>
      </w:pPr>
    </w:p>
    <w:p>
      <w:pPr>
        <w:jc w:val="both"/>
        <w:ind w:left="8"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Administrative Agent and each Lender hereby appoints each other Lender as agent and bailee for the purpose of perfection the security interests in and liens upon the Collateral in assets that,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- 113 -</w:t>
      </w:r>
    </w:p>
    <w:p>
      <w:pPr>
        <w:sectPr>
          <w:pgSz w:w="11900" w:h="16838" w:orient="portrait"/>
          <w:cols w:equalWidth="0" w:num="1">
            <w:col w:w="11268"/>
          </w:cols>
          <w:pgMar w:left="312" w:top="1207" w:right="319" w:bottom="1440" w:gutter="0" w:footer="0" w:header="0"/>
        </w:sectPr>
      </w:pPr>
    </w:p>
    <w:bookmarkStart w:id="164" w:name="page165"/>
    <w:bookmarkEnd w:id="164"/>
    <w:p>
      <w:pPr>
        <w:jc w:val="both"/>
        <w:spacing w:after="0" w:line="226" w:lineRule="auto"/>
        <w:rPr>
          <w:sz w:val="20"/>
          <w:szCs w:val="20"/>
          <w:color w:val="auto"/>
        </w:rPr>
      </w:pPr>
      <w:r>
        <w:rPr>
          <w:rFonts w:ascii="Times New Roman" w:cs="Times New Roman" w:eastAsia="Times New Roman" w:hAnsi="Times New Roman"/>
          <w:sz w:val="18"/>
          <w:szCs w:val="18"/>
          <w:color w:val="auto"/>
        </w:rPr>
        <w:t>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8"/>
          <w:szCs w:val="18"/>
          <w:u w:val="single" w:color="auto"/>
          <w:color w:val="auto"/>
        </w:rPr>
        <w:t>Reports and Other Information; Confidentiality; Disclaimers</w:t>
      </w:r>
      <w:r>
        <w:rPr>
          <w:rFonts w:ascii="Times New Roman" w:cs="Times New Roman" w:eastAsia="Times New Roman" w:hAnsi="Times New Roman"/>
          <w:sz w:val="18"/>
          <w:szCs w:val="18"/>
          <w:color w:val="auto"/>
        </w:rPr>
        <w:t>. By becoming a party to this Agreement, each Lender:</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is deemed to have requested that Administrative Agent furnish such Lender or Administrative Agent, promptly after it becomes available, a copy of each field audit or examination report with respect to Borrower or its Subsidiaries (each a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prepared by or at the request of Administrative Agent, and Administrative Agent shall so furnish each Lender with such Reports,</w:t>
      </w:r>
    </w:p>
    <w:p>
      <w:pPr>
        <w:spacing w:after="0" w:line="129" w:lineRule="exact"/>
        <w:rPr>
          <w:sz w:val="20"/>
          <w:szCs w:val="20"/>
          <w:color w:val="auto"/>
        </w:rPr>
      </w:pPr>
    </w:p>
    <w:p>
      <w:pPr>
        <w:ind w:firstLine="1094"/>
        <w:spacing w:after="0" w:line="250" w:lineRule="auto"/>
        <w:tabs>
          <w:tab w:leader="none" w:pos="16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agrees and acknowledges that Administrative Agent does not (i) make any representation or warranty as to the accuracy of any Report, and (ii) shall not be liable for any information contained in any Report,</w:t>
      </w:r>
    </w:p>
    <w:p>
      <w:pPr>
        <w:spacing w:after="0" w:line="119" w:lineRule="exact"/>
        <w:rPr>
          <w:rFonts w:ascii="Times New Roman" w:cs="Times New Roman" w:eastAsia="Times New Roman" w:hAnsi="Times New Roman"/>
          <w:sz w:val="18"/>
          <w:szCs w:val="18"/>
          <w:color w:val="auto"/>
        </w:rPr>
      </w:pPr>
    </w:p>
    <w:p>
      <w:pPr>
        <w:jc w:val="both"/>
        <w:ind w:right="20" w:firstLine="1094"/>
        <w:spacing w:after="0" w:line="234" w:lineRule="auto"/>
        <w:tabs>
          <w:tab w:leader="none" w:pos="16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29" w:lineRule="exact"/>
        <w:rPr>
          <w:rFonts w:ascii="Times New Roman" w:cs="Times New Roman" w:eastAsia="Times New Roman" w:hAnsi="Times New Roman"/>
          <w:sz w:val="18"/>
          <w:szCs w:val="18"/>
          <w:color w:val="auto"/>
        </w:rPr>
      </w:pPr>
    </w:p>
    <w:p>
      <w:pPr>
        <w:ind w:firstLine="1094"/>
        <w:spacing w:after="0" w:line="250" w:lineRule="auto"/>
        <w:tabs>
          <w:tab w:leader="none" w:pos="16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jc w:val="both"/>
        <w:ind w:firstLine="1094"/>
        <w:spacing w:after="0" w:line="221" w:lineRule="auto"/>
        <w:tabs>
          <w:tab w:leader="none" w:pos="16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 or the indemnifying Lender’s participation in, or the indemnifying Lender’s purchase of, a loan or loans of Borrower, and (ii) to pay and protect, and indemnify, defend and hold Administrative Agent, and any such other Lender preparing a Report harmless from and against, the claims, actions, proceedings, damages, costs, expenses, and other amounts (including attorneys’ fees and costs pursuant to </w:t>
      </w:r>
      <w:r>
        <w:rPr>
          <w:rFonts w:ascii="Times New Roman" w:cs="Times New Roman" w:eastAsia="Times New Roman" w:hAnsi="Times New Roman"/>
          <w:sz w:val="18"/>
          <w:szCs w:val="18"/>
          <w:u w:val="single" w:color="auto"/>
          <w:color w:val="auto"/>
        </w:rPr>
        <w:t>Sections 10.2 or 10.3</w:t>
      </w:r>
      <w:r>
        <w:rPr>
          <w:rFonts w:ascii="Times New Roman" w:cs="Times New Roman" w:eastAsia="Times New Roman" w:hAnsi="Times New Roman"/>
          <w:sz w:val="18"/>
          <w:szCs w:val="18"/>
          <w:color w:val="auto"/>
        </w:rPr>
        <w:t>)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29" w:lineRule="exact"/>
        <w:rPr>
          <w:sz w:val="20"/>
          <w:szCs w:val="20"/>
          <w:color w:val="auto"/>
        </w:rPr>
      </w:pPr>
    </w:p>
    <w:p>
      <w:pPr>
        <w:jc w:val="both"/>
        <w:ind w:firstLine="1102"/>
        <w:spacing w:after="0" w:line="223" w:lineRule="auto"/>
        <w:rPr>
          <w:sz w:val="20"/>
          <w:szCs w:val="20"/>
          <w:color w:val="auto"/>
        </w:rPr>
      </w:pPr>
      <w:r>
        <w:rPr>
          <w:rFonts w:ascii="Times New Roman" w:cs="Times New Roman" w:eastAsia="Times New Roman" w:hAnsi="Times New Roman"/>
          <w:sz w:val="18"/>
          <w:szCs w:val="18"/>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and (y) to the extent that Administrative Agent is entitled, under any provision of the Loan Documents, to request additional reports or information from Borrower or its Subsidiaries, any Lender may, from time to time, reasonably request Administrative Agent to exercise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- 114 -</w:t>
      </w:r>
    </w:p>
    <w:p>
      <w:pPr>
        <w:sectPr>
          <w:pgSz w:w="11900" w:h="16838" w:orient="portrait"/>
          <w:cols w:equalWidth="0" w:num="1">
            <w:col w:w="11260"/>
          </w:cols>
          <w:pgMar w:left="320" w:top="1208" w:right="319" w:bottom="1440" w:gutter="0" w:footer="0" w:header="0"/>
        </w:sectPr>
      </w:pPr>
    </w:p>
    <w:bookmarkStart w:id="165" w:name="page166"/>
    <w:bookmarkEnd w:id="165"/>
    <w:p>
      <w:pPr>
        <w:jc w:val="both"/>
        <w:spacing w:after="0" w:line="234" w:lineRule="auto"/>
        <w:rPr>
          <w:sz w:val="20"/>
          <w:szCs w:val="20"/>
          <w:color w:val="auto"/>
        </w:rPr>
      </w:pPr>
      <w:r>
        <w:rPr>
          <w:rFonts w:ascii="Times New Roman" w:cs="Times New Roman" w:eastAsia="Times New Roman" w:hAnsi="Times New Roman"/>
          <w:sz w:val="18"/>
          <w:szCs w:val="18"/>
          <w:color w:val="auto"/>
        </w:rPr>
        <w:t>right as specified in such Lender’s notice to Administrative Agent, whereupon Administrative Agent promptly shall request of Borrower the additional reports or information reasonably specified by such Lender, and, upon receipt thereof from Borrower or such Subsidiary, Administrative Agent promptly shall provide a copy of same to such Lender.</w:t>
      </w:r>
    </w:p>
    <w:p>
      <w:pPr>
        <w:spacing w:after="0" w:line="129" w:lineRule="exact"/>
        <w:rPr>
          <w:sz w:val="20"/>
          <w:szCs w:val="20"/>
          <w:color w:val="auto"/>
        </w:rPr>
      </w:pPr>
    </w:p>
    <w:p>
      <w:pPr>
        <w:jc w:val="both"/>
        <w:ind w:firstLine="551"/>
        <w:spacing w:after="0" w:line="216"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Subject to the limitations set forth below, upon the occurrence and during the continuance of an Event of Default, Administrative Agent is authorized by Borrower and the Lenders, from time to time in Administrative Agent’s sole discretion (but Administrative Agent shall have absolutely no obligation to), to make disbursements or advances to Borrower, which Administrative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Borrower 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Protective Advances may be made even if the conditions precedent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have not been satisfied. The interest rate on all Protective Advances shall be at the Base Rate plus the Applicable Margin. Each Protective Advance shall be secured by the Liens in favor of the Administrative Agent in and to the Collateral and shall constitute Obligations hereunder. Borrower shall pay the unpaid principal amount and all unpaid and accrued interest of each Protective Advance on the earlier of the Term Loan Maturity Date and the date on which demand for payment is made by Administrative Agent. Administrative Agent shall notify each Lender and Borrower in writing of each such Protective Advance, which notice shall include a description of the purpose of such Protective Advance. Without limitation to its obligations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Effective Rate for three (3) Business Days and thereafter at the Base Rate.</w:t>
      </w:r>
    </w:p>
    <w:p>
      <w:pPr>
        <w:spacing w:after="0" w:line="14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18" w:lineRule="auto"/>
        <w:tabs>
          <w:tab w:leader="none" w:pos="165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Administrative Agent has determined in its sole discretion (whether or not after receipt of any notice under immediately succeeding clause (b)) that any funds (as set forth in such notice from Administrative Agent)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Administrative Agent pending its return or repayment as contemplated below in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Administrative Agent may, in its sole discretion, specify in writing), return to Administrative Agent the amount of any such Erroneous Payment (or portion thereof) as to which such a demand was made, in same day funds (in the currency so received), together with interest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480" w:hanging="97"/>
        <w:spacing w:after="0"/>
        <w:tabs>
          <w:tab w:leader="none" w:pos="54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w:t>
      </w:r>
    </w:p>
    <w:p>
      <w:pPr>
        <w:sectPr>
          <w:pgSz w:w="11900" w:h="16838" w:orient="portrait"/>
          <w:cols w:equalWidth="0" w:num="1">
            <w:col w:w="11260"/>
          </w:cols>
          <w:pgMar w:left="320" w:top="1207" w:right="319" w:bottom="1440" w:gutter="0" w:footer="0" w:header="0"/>
        </w:sectPr>
      </w:pPr>
    </w:p>
    <w:bookmarkStart w:id="166" w:name="page167"/>
    <w:bookmarkEnd w:id="166"/>
    <w:p>
      <w:pPr>
        <w:jc w:val="both"/>
        <w:spacing w:after="0"/>
        <w:rPr>
          <w:sz w:val="20"/>
          <w:szCs w:val="20"/>
          <w:color w:val="auto"/>
        </w:rPr>
      </w:pPr>
      <w:r>
        <w:rPr>
          <w:rFonts w:ascii="Times New Roman" w:cs="Times New Roman" w:eastAsia="Times New Roman" w:hAnsi="Times New Roman"/>
          <w:sz w:val="18"/>
          <w:szCs w:val="18"/>
          <w:color w:val="auto"/>
        </w:rPr>
        <w:t>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Administrative Agent to any Payment Recipient under this clause (a) shall be conclusive, absent manifest error.</w:t>
      </w:r>
    </w:p>
    <w:p>
      <w:pPr>
        <w:spacing w:after="0" w:line="274" w:lineRule="exact"/>
        <w:rPr>
          <w:sz w:val="20"/>
          <w:szCs w:val="20"/>
          <w:color w:val="auto"/>
        </w:rPr>
      </w:pPr>
    </w:p>
    <w:p>
      <w:pPr>
        <w:jc w:val="both"/>
        <w:ind w:firstLine="1094"/>
        <w:spacing w:after="0" w:line="222" w:lineRule="auto"/>
        <w:tabs>
          <w:tab w:leader="none" w:pos="165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29" w:lineRule="exact"/>
        <w:rPr>
          <w:rFonts w:ascii="Times New Roman" w:cs="Times New Roman" w:eastAsia="Times New Roman" w:hAnsi="Times New Roman"/>
          <w:sz w:val="18"/>
          <w:szCs w:val="18"/>
          <w:color w:val="auto"/>
        </w:rPr>
      </w:pPr>
    </w:p>
    <w:p>
      <w:pPr>
        <w:jc w:val="both"/>
        <w:ind w:firstLine="1645"/>
        <w:spacing w:after="0" w:line="234" w:lineRule="auto"/>
        <w:tabs>
          <w:tab w:leader="none" w:pos="219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129" w:lineRule="exact"/>
        <w:rPr>
          <w:rFonts w:ascii="Times New Roman" w:cs="Times New Roman" w:eastAsia="Times New Roman" w:hAnsi="Times New Roman"/>
          <w:sz w:val="18"/>
          <w:szCs w:val="18"/>
          <w:color w:val="auto"/>
        </w:rPr>
      </w:pPr>
    </w:p>
    <w:p>
      <w:pPr>
        <w:jc w:val="both"/>
        <w:ind w:firstLine="1645"/>
        <w:spacing w:after="0" w:line="229" w:lineRule="auto"/>
        <w:tabs>
          <w:tab w:leader="none" w:pos="21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use commercially reasonable efforts to cause any other recipient that receives funds on its respective behalf to) promptly (and, in all events, within one (1) Business Day of its knowledge of the occurrence of any of the circumstances described in immediately preceding clauses (x), (y) and (z)) notify Administrative Agent of its receipt of such payment, prepayment or repayment, the details thereof (in reasonable detail) and that it is so notifying Administrative Agent pursuant to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Administrative Agent pursuant to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9.12(a)</w:t>
      </w:r>
      <w:r>
        <w:rPr>
          <w:rFonts w:ascii="Times New Roman" w:cs="Times New Roman" w:eastAsia="Times New Roman" w:hAnsi="Times New Roman"/>
          <w:sz w:val="18"/>
          <w:szCs w:val="18"/>
          <w:color w:val="auto"/>
        </w:rPr>
        <w:t xml:space="preserve"> or on whether or not an Erroneous Payment has been made.</w:t>
      </w:r>
    </w:p>
    <w:p>
      <w:pPr>
        <w:spacing w:after="0" w:line="97" w:lineRule="exact"/>
        <w:rPr>
          <w:sz w:val="20"/>
          <w:szCs w:val="20"/>
          <w:color w:val="auto"/>
        </w:rPr>
      </w:pPr>
    </w:p>
    <w:p>
      <w:pPr>
        <w:jc w:val="both"/>
        <w:ind w:firstLine="1094"/>
        <w:spacing w:after="0" w:line="229" w:lineRule="auto"/>
        <w:tabs>
          <w:tab w:leader="none" w:pos="165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Administrative Agent to set off, net and apply any and all amounts at any time owing to such Lender under any Loan Document, or otherwise payable or distributable by Administrative Agent to such Lender under any Loan Document with respect to any payment of principal, interest, fees or other amounts, against any amount that Administrative Agent has demanded to be returned under immediately preceding clause (a).</w:t>
      </w:r>
    </w:p>
    <w:p>
      <w:pPr>
        <w:spacing w:after="0" w:line="128" w:lineRule="exact"/>
        <w:rPr>
          <w:rFonts w:ascii="Times New Roman" w:cs="Times New Roman" w:eastAsia="Times New Roman" w:hAnsi="Times New Roman"/>
          <w:sz w:val="18"/>
          <w:szCs w:val="18"/>
          <w:color w:val="auto"/>
        </w:rPr>
      </w:pPr>
    </w:p>
    <w:p>
      <w:pPr>
        <w:jc w:val="both"/>
        <w:ind w:firstLine="1094"/>
        <w:spacing w:after="0" w:line="223" w:lineRule="auto"/>
        <w:tabs>
          <w:tab w:leader="none" w:pos="165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provided that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not be interpreted to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480" w:hanging="97"/>
        <w:spacing w:after="0"/>
        <w:tabs>
          <w:tab w:leader="none" w:pos="54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w:t>
      </w:r>
    </w:p>
    <w:p>
      <w:pPr>
        <w:sectPr>
          <w:pgSz w:w="11900" w:h="16838" w:orient="portrait"/>
          <w:cols w:equalWidth="0" w:num="1">
            <w:col w:w="11260"/>
          </w:cols>
          <w:pgMar w:left="320" w:top="1207" w:right="319" w:bottom="1440" w:gutter="0" w:footer="0" w:header="0"/>
        </w:sectPr>
      </w:pPr>
    </w:p>
    <w:bookmarkStart w:id="167" w:name="page168"/>
    <w:bookmarkEnd w:id="167"/>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increase (or accelerate the due date for), or have the effect of increasing (or accelerating the due date for), the Obligations of the Borrower relative to the amount (or timing for payment) of the Obligations that would have been payable had such Erroneous Payment not been made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immediately preceding clauses (x) and (y) shall not apply to the extent any such Erroneous Payment is, and solely with respect to the amount of such Erroneous Payment that is, comprised of funds received by Administrative Agent from, or on behalf of (including through the exercise of remedies under any Loan Document), the Borrower for the purpose of a payment on the Obligations.</w:t>
      </w:r>
    </w:p>
    <w:p>
      <w:pPr>
        <w:spacing w:after="0" w:line="128" w:lineRule="exact"/>
        <w:rPr>
          <w:sz w:val="20"/>
          <w:szCs w:val="20"/>
          <w:color w:val="auto"/>
        </w:rPr>
      </w:pPr>
    </w:p>
    <w:p>
      <w:pPr>
        <w:jc w:val="both"/>
        <w:ind w:firstLine="1094"/>
        <w:spacing w:after="0" w:line="229" w:lineRule="auto"/>
        <w:tabs>
          <w:tab w:leader="none" w:pos="165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any defense based on “discharge for value” or any similar doctrine.</w:t>
      </w:r>
    </w:p>
    <w:p>
      <w:pPr>
        <w:spacing w:after="0" w:line="128" w:lineRule="exact"/>
        <w:rPr>
          <w:rFonts w:ascii="Times New Roman" w:cs="Times New Roman" w:eastAsia="Times New Roman" w:hAnsi="Times New Roman"/>
          <w:sz w:val="18"/>
          <w:szCs w:val="18"/>
          <w:color w:val="auto"/>
        </w:rPr>
      </w:pPr>
    </w:p>
    <w:p>
      <w:pPr>
        <w:jc w:val="both"/>
        <w:ind w:firstLine="1094"/>
        <w:spacing w:after="0" w:line="234" w:lineRule="auto"/>
        <w:tabs>
          <w:tab w:leader="none" w:pos="165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survive the resignation or replacement of Administrative Agent, any transfer of rights or obligations by, or the replacement of, a Lender, or the repayment, satisfaction or discharge of all Obligations (or any portion thereof) under any Loan Document.</w:t>
      </w:r>
    </w:p>
    <w:p>
      <w:pPr>
        <w:spacing w:after="0" w:line="1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X</w:t>
      </w:r>
    </w:p>
    <w:p>
      <w:pPr>
        <w:spacing w:after="0" w:line="1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MISCELLANEOUS</w:t>
      </w:r>
    </w:p>
    <w:p>
      <w:pPr>
        <w:spacing w:after="0" w:line="16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22" w:lineRule="auto"/>
        <w:tabs>
          <w:tab w:leader="none" w:pos="165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Unless otherwise specifically provided herein, any notice or other communication herein required or permitted to be given to a Loan Party or Administrative Agent, shall be sent to such Person’s address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or in the other relevant Loan Document, and in the case of any Lender, the address as indicated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three (3) Business Days after depositing it in the United States mail with postage prepaid and properly addressed;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notice to Administrative Agent shall be effective until received by Administrative Agent.</w:t>
      </w:r>
    </w:p>
    <w:p>
      <w:pPr>
        <w:spacing w:after="0" w:line="12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645"/>
        <w:spacing w:after="0" w:line="223" w:lineRule="auto"/>
        <w:tabs>
          <w:tab w:leader="none" w:pos="219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Notices and other communications to the Lenders hereunder may be delivered or furnished by electronic communication (including e-mail and Internet or intranet websites) pursuant to procedures approved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Administrative Agent that it is incapable of receiving notices under such Article by electronic communication.</w:t>
      </w:r>
    </w:p>
    <w:p>
      <w:pPr>
        <w:spacing w:after="0" w:line="132" w:lineRule="exact"/>
        <w:rPr>
          <w:rFonts w:ascii="Times New Roman" w:cs="Times New Roman" w:eastAsia="Times New Roman" w:hAnsi="Times New Roman"/>
          <w:sz w:val="18"/>
          <w:szCs w:val="18"/>
          <w:color w:val="auto"/>
        </w:rPr>
      </w:pPr>
    </w:p>
    <w:p>
      <w:pPr>
        <w:ind w:firstLine="1645"/>
        <w:spacing w:after="0" w:line="250" w:lineRule="auto"/>
        <w:tabs>
          <w:tab w:leader="none" w:pos="219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Administrative Agent otherwise prescribes, (A) notices and other communications sent to an e-mail address shall be deemed received upon the sender’s receipt of an acknowledgement from the intended recipient (such as by the “return receipt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480" w:hanging="97"/>
        <w:spacing w:after="0"/>
        <w:tabs>
          <w:tab w:leader="none" w:pos="548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p>
    <w:p>
      <w:pPr>
        <w:sectPr>
          <w:pgSz w:w="11900" w:h="16838" w:orient="portrait"/>
          <w:cols w:equalWidth="0" w:num="1">
            <w:col w:w="11260"/>
          </w:cols>
          <w:pgMar w:left="320" w:top="1207" w:right="319" w:bottom="1440" w:gutter="0" w:footer="0" w:header="0"/>
        </w:sectPr>
      </w:pPr>
    </w:p>
    <w:bookmarkStart w:id="168" w:name="page169"/>
    <w:bookmarkEnd w:id="168"/>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28" w:lineRule="exact"/>
        <w:rPr>
          <w:sz w:val="20"/>
          <w:szCs w:val="20"/>
          <w:color w:val="auto"/>
        </w:rPr>
      </w:pPr>
    </w:p>
    <w:p>
      <w:pPr>
        <w:jc w:val="both"/>
        <w:ind w:firstLine="551"/>
        <w:spacing w:after="0" w:line="22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Whether or not the transactions contemplated hereby shall be consummated, Borrower agrees to pay promptly (or, in the case of costs, fees, expenses and disbursements incurred after the Closing Date, within [***] of receipt of an invoice) (a) all of Administrative Agent’s actual, reasonable and documented out-of-pocket costs and expenses of preparation, negotiation, execution and administration of the Loan Documents and any consents, amendments, waivers or other modifications thereto; (b) all the actual, reasonable and documented out-of-pocket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Borrower; (c) all the actual, reasonable and documented out-of-pocket costs and expenses of creating and perfecting Liens in favor of Administrative Agent, for the benefit of Secured Parties, including filing and recording fees, expenses and taxes, stamp or documentary taxes, search fees, title insurance premiums and reasonable and documented out-of-pocket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Agent’s actual, reasonable and documented out-of-pocket fees, expenses for, and disbursements of any of Administrative Agent’s auditors, accountants, consultants or appraisers, and all reasonable attorneys’ fees incurred by Administrative Agent; (e) all the actual, reasonable and documented out-of-pocket costs and expenses (including the reasonable and documented out-of-pocket fees, expenses and disbursements of any appraisers, consultants, advisors and agents employed or retained by Administrative Agent and its counsel (in each case, external only)) in connection with the custody or preservation of any of the Collateral; (f) all the actual, reasonable and documented out-of-pocket costs and expenses of Administrative Agent and Lenders in connection with the attendance at any meetings in connection with this Agreement and the other Loan Documents (including the meetings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(g) all other actual, reasonable and documented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and documented out-of-pocket attorneys’ fees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 out” or pursuant to any insolvency or bankruptcy cases or proceedings. In each case, in the case of counsel, Borrower will only be required to reimburse expenses of one firm of counsel (in the absence of an actual or perceived conflict), one additional local counsel in each relevant jurisdiction, one intellectual property counsel and such other special counsel subject in the case of such other special counsel to Borrower’s consent (such consent not to be unreasonably withheld, conditioned or delayed).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- 118 -</w:t>
      </w:r>
    </w:p>
    <w:p>
      <w:pPr>
        <w:sectPr>
          <w:pgSz w:w="11900" w:h="16838" w:orient="portrait"/>
          <w:cols w:equalWidth="0" w:num="1">
            <w:col w:w="11260"/>
          </w:cols>
          <w:pgMar w:left="320" w:top="1207" w:right="319" w:bottom="1440" w:gutter="0" w:footer="0" w:header="0"/>
        </w:sectPr>
      </w:pPr>
    </w:p>
    <w:bookmarkStart w:id="169" w:name="page170"/>
    <w:bookmarkEnd w:id="169"/>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17" w:lineRule="auto"/>
        <w:rPr>
          <w:sz w:val="20"/>
          <w:szCs w:val="20"/>
          <w:color w:val="auto"/>
        </w:rPr>
      </w:pPr>
      <w:r>
        <w:rPr>
          <w:rFonts w:ascii="Times New Roman" w:cs="Times New Roman" w:eastAsia="Times New Roman" w:hAnsi="Times New Roman"/>
          <w:sz w:val="18"/>
          <w:szCs w:val="18"/>
          <w:color w:val="auto"/>
        </w:rPr>
        <w:t xml:space="preserve">IN ADDITION TO THE PAYMENT OF EXPENSES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b w:val="1"/>
          <w:bCs w:val="1"/>
          <w:color w:val="auto"/>
        </w:rPr>
        <w:t>IN ALL CASES,</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color w:val="auto"/>
        </w:rPr>
        <w:t>WHETHER OR NOT CAUSED BY OR ARISING, IN WHOLE OR IN PART, OUT OF THE COMPARATIVE, CONTRIBUTORY, OR SOLE NEGLIGENCE OF SUCH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LOAN PARTY SHALL HAVE ANY OBLIGATION TO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WITH RESPECT TO ANY INDEMNIFIED LIABILITIES TO THE EXTENT SUCH INDEMNIFIED LIABILITIES ARISE FROM THE FRAUD,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29" w:lineRule="exact"/>
        <w:rPr>
          <w:sz w:val="20"/>
          <w:szCs w:val="20"/>
          <w:color w:val="auto"/>
        </w:rPr>
      </w:pPr>
    </w:p>
    <w:p>
      <w:pPr>
        <w:jc w:val="both"/>
        <w:ind w:firstLine="1094"/>
        <w:spacing w:after="0" w:line="218" w:lineRule="auto"/>
        <w:tabs>
          <w:tab w:leader="none" w:pos="165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Loan Party shall assert, and each Loan Party hereby waives, any claim against Lenders, Administrative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Borrower hereby waives, releases and agrees not to sue upon any such claim or any such damages, whether or not accrued and whether or not known or suspected to exist in its favor. Notwithstanding any provision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to the contrary, no Loan Party shall have any liability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for any special, indirect, consequential or punitive damages (as opposed to direct or actual damages), except that, nothing in this sentence shall limit the Loan Party’s obligation to indemnify and hold harmless the Indemnitee for any claims, whether brought by third parties or by any party hereto, for which the Indemnitees are entitled to be held harmless and indemnified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In addition to any rights now or hereafter granted under applicable law and not by way of limitation of any such rights, upon the occurrence and during the continuance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- 119 -</w:t>
      </w:r>
    </w:p>
    <w:p>
      <w:pPr>
        <w:sectPr>
          <w:pgSz w:w="11900" w:h="16838" w:orient="portrait"/>
          <w:cols w:equalWidth="0" w:num="1">
            <w:col w:w="11260"/>
          </w:cols>
          <w:pgMar w:left="320" w:top="1208" w:right="319" w:bottom="1440" w:gutter="0" w:footer="0" w:header="0"/>
        </w:sectPr>
      </w:pPr>
    </w:p>
    <w:bookmarkStart w:id="170" w:name="page171"/>
    <w:bookmarkEnd w:id="170"/>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the interest on the Term Loans or any other amounts due hereunder shall have become due and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w:t>
      </w:r>
    </w:p>
    <w:p>
      <w:pPr>
        <w:spacing w:after="0" w:line="13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34" w:lineRule="auto"/>
        <w:tabs>
          <w:tab w:leader="none" w:pos="165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Lenders’ Consent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no amendment, modification, termination or waiver of any provision of the Loan Documents, or consent to any departure by any Loan Party therefrom, shall in any event be effective without the written consent of the Required Lenders.</w:t>
      </w:r>
    </w:p>
    <w:p>
      <w:pPr>
        <w:spacing w:after="0" w:line="129" w:lineRule="exact"/>
        <w:rPr>
          <w:rFonts w:ascii="Times New Roman" w:cs="Times New Roman" w:eastAsia="Times New Roman" w:hAnsi="Times New Roman"/>
          <w:sz w:val="18"/>
          <w:szCs w:val="18"/>
          <w:color w:val="auto"/>
        </w:rPr>
      </w:pPr>
    </w:p>
    <w:p>
      <w:pPr>
        <w:ind w:right="20" w:firstLine="1094"/>
        <w:spacing w:after="0" w:line="250" w:lineRule="auto"/>
        <w:tabs>
          <w:tab w:leader="none" w:pos="165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Affected Lenders’ Consent</w:t>
      </w:r>
      <w:r>
        <w:rPr>
          <w:rFonts w:ascii="Times New Roman" w:cs="Times New Roman" w:eastAsia="Times New Roman" w:hAnsi="Times New Roman"/>
          <w:sz w:val="18"/>
          <w:szCs w:val="18"/>
          <w:color w:val="auto"/>
        </w:rPr>
        <w:t>. Without the written consent of each Lender (other than a Defaulting Lender) directly affected thereby, no amendment, modification, termination, or consent shall be effective if the effect thereof would:</w:t>
      </w:r>
    </w:p>
    <w:p>
      <w:pPr>
        <w:spacing w:after="0" w:line="119" w:lineRule="exact"/>
        <w:rPr>
          <w:rFonts w:ascii="Times New Roman" w:cs="Times New Roman" w:eastAsia="Times New Roman" w:hAnsi="Times New Roman"/>
          <w:sz w:val="18"/>
          <w:szCs w:val="18"/>
          <w:color w:val="auto"/>
        </w:rPr>
      </w:pPr>
    </w:p>
    <w:p>
      <w:pPr>
        <w:ind w:left="2180" w:hanging="535"/>
        <w:spacing w:after="0"/>
        <w:tabs>
          <w:tab w:leader="none" w:pos="2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scheduled final maturity of any Loan or Note;</w:t>
      </w:r>
    </w:p>
    <w:p>
      <w:pPr>
        <w:spacing w:after="0" w:line="160"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reduce or postpone any scheduled repayment (but not prepayment);</w:t>
      </w:r>
    </w:p>
    <w:p>
      <w:pPr>
        <w:spacing w:after="0" w:line="160" w:lineRule="exact"/>
        <w:rPr>
          <w:rFonts w:ascii="Times New Roman" w:cs="Times New Roman" w:eastAsia="Times New Roman" w:hAnsi="Times New Roman"/>
          <w:sz w:val="18"/>
          <w:szCs w:val="18"/>
          <w:color w:val="auto"/>
        </w:rPr>
      </w:pPr>
    </w:p>
    <w:p>
      <w:pPr>
        <w:ind w:firstLine="1645"/>
        <w:spacing w:after="0" w:line="250" w:lineRule="auto"/>
        <w:tabs>
          <w:tab w:leader="none" w:pos="220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or any fee payable hereunder;</w:t>
      </w:r>
    </w:p>
    <w:p>
      <w:pPr>
        <w:spacing w:after="0" w:line="119" w:lineRule="exact"/>
        <w:rPr>
          <w:rFonts w:ascii="Times New Roman" w:cs="Times New Roman" w:eastAsia="Times New Roman" w:hAnsi="Times New Roman"/>
          <w:sz w:val="18"/>
          <w:szCs w:val="18"/>
          <w:color w:val="auto"/>
        </w:rPr>
      </w:pPr>
    </w:p>
    <w:p>
      <w:pPr>
        <w:ind w:left="2180" w:hanging="535"/>
        <w:spacing w:after="0"/>
        <w:tabs>
          <w:tab w:leader="none" w:pos="2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of any such interest or fees;</w:t>
      </w:r>
    </w:p>
    <w:p>
      <w:pPr>
        <w:spacing w:after="0" w:line="160"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Loan;</w:t>
      </w:r>
    </w:p>
    <w:p>
      <w:pPr>
        <w:spacing w:after="0" w:line="160" w:lineRule="exact"/>
        <w:rPr>
          <w:rFonts w:ascii="Times New Roman" w:cs="Times New Roman" w:eastAsia="Times New Roman" w:hAnsi="Times New Roman"/>
          <w:sz w:val="18"/>
          <w:szCs w:val="18"/>
          <w:color w:val="auto"/>
        </w:rPr>
      </w:pPr>
    </w:p>
    <w:p>
      <w:pPr>
        <w:ind w:left="2180" w:hanging="535"/>
        <w:spacing w:after="0"/>
        <w:tabs>
          <w:tab w:leader="none" w:pos="2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terminate or waive any provision of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645"/>
        <w:spacing w:after="0" w:line="234" w:lineRule="auto"/>
        <w:tabs>
          <w:tab w:leader="none" w:pos="220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or any material portion of the Collateral or all or substantially all of the Guarantors from the Guaranty, or release a material portion of the aggregate value of the Guaranty, except as expressly provided in the Loan Documents as in effect on the Closing Date;</w:t>
      </w:r>
    </w:p>
    <w:p>
      <w:pPr>
        <w:spacing w:after="0" w:line="129" w:lineRule="exact"/>
        <w:rPr>
          <w:rFonts w:ascii="Times New Roman" w:cs="Times New Roman" w:eastAsia="Times New Roman" w:hAnsi="Times New Roman"/>
          <w:sz w:val="18"/>
          <w:szCs w:val="18"/>
          <w:color w:val="auto"/>
        </w:rPr>
      </w:pPr>
    </w:p>
    <w:p>
      <w:pPr>
        <w:jc w:val="both"/>
        <w:ind w:firstLine="1645"/>
        <w:spacing w:after="0" w:line="226" w:lineRule="auto"/>
        <w:tabs>
          <w:tab w:leader="none" w:pos="219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subordinate (or authorize or permit any transaction having the effect of subordinating) (x) any of the Obligations in right of payment or otherwise (including for the avoidance of doubt, to any other Obligations) or (y) any Lien created by this Agreement or any other Loan Document, whether by amendment, waiver, exchange, refinancing, open market purchase, Dutch auction, or any other transaction or series of related transactions, except, in the case of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any transaction expressly permitted hereunder as of the Closing Date that is contemplated to have priority over the Liens securing the Obligations;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w:t>
      </w:r>
    </w:p>
    <w:p>
      <w:pPr>
        <w:sectPr>
          <w:pgSz w:w="11900" w:h="16838" w:orient="portrait"/>
          <w:cols w:equalWidth="0" w:num="1">
            <w:col w:w="11260"/>
          </w:cols>
          <w:pgMar w:left="320" w:top="1207" w:right="319" w:bottom="1440" w:gutter="0" w:footer="0" w:header="0"/>
        </w:sectPr>
      </w:pPr>
    </w:p>
    <w:bookmarkStart w:id="171" w:name="page172"/>
    <w:bookmarkEnd w:id="171"/>
    <w:p>
      <w:pPr>
        <w:ind w:left="2200" w:hanging="555"/>
        <w:spacing w:after="0"/>
        <w:tabs>
          <w:tab w:leader="none" w:pos="22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any Loan Party of any of its rights and obligations under any Loan Document;</w:t>
      </w:r>
    </w:p>
    <w:p>
      <w:pPr>
        <w:spacing w:after="0" w:line="160" w:lineRule="exact"/>
        <w:rPr>
          <w:rFonts w:ascii="Times New Roman" w:cs="Times New Roman" w:eastAsia="Times New Roman" w:hAnsi="Times New Roman"/>
          <w:sz w:val="18"/>
          <w:szCs w:val="18"/>
          <w:color w:val="auto"/>
        </w:rPr>
      </w:pPr>
    </w:p>
    <w:p>
      <w:pPr>
        <w:jc w:val="both"/>
        <w:ind w:firstLine="1645"/>
        <w:spacing w:after="0" w:line="226" w:lineRule="auto"/>
        <w:tabs>
          <w:tab w:leader="none" w:pos="219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incurrence of additional Indebtedness (other than any Indebtedness that would be permitted to be incurred pursuant to the terms hereof on the Closing Date) under the Loan Documents for the purpose of influencing the voting threshold for any amendment requiring the consent of the Lenders (including Affiliates or related Persons) comprising more than the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or where the affirmative consent of the Required Lenders could not have been achieved but for the issuance of such additional Indebtedness or any related transactions, in each case, without the written consent of all the Lenders;</w:t>
      </w:r>
    </w:p>
    <w:p>
      <w:pPr>
        <w:spacing w:after="0" w:line="127" w:lineRule="exact"/>
        <w:rPr>
          <w:rFonts w:ascii="Times New Roman" w:cs="Times New Roman" w:eastAsia="Times New Roman" w:hAnsi="Times New Roman"/>
          <w:sz w:val="18"/>
          <w:szCs w:val="18"/>
          <w:color w:val="auto"/>
        </w:rPr>
      </w:pPr>
    </w:p>
    <w:p>
      <w:pPr>
        <w:jc w:val="both"/>
        <w:ind w:right="20" w:firstLine="1645"/>
        <w:spacing w:after="0" w:line="234" w:lineRule="auto"/>
        <w:tabs>
          <w:tab w:leader="none" w:pos="2199"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Lenders of the applicable class of Delayed Draw Term Loan Commitments, any such agreement may waive, amend or modify any condition precedent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as it pertains to any borrowing of Delayed Draw Term Loans.</w:t>
      </w:r>
    </w:p>
    <w:p>
      <w:pPr>
        <w:spacing w:after="0" w:line="129"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Consents</w:t>
      </w:r>
      <w:r>
        <w:rPr>
          <w:rFonts w:ascii="Times New Roman" w:cs="Times New Roman" w:eastAsia="Times New Roman" w:hAnsi="Times New Roman"/>
          <w:sz w:val="18"/>
          <w:szCs w:val="18"/>
          <w:color w:val="auto"/>
        </w:rPr>
        <w:t xml:space="preserve">. No amendment, modification, termination or waiver of any provision of the Loan Documents, or consent to any departure by any Loan Party therefrom, shall amend, modify, terminate or waive any provision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the same applies to Administrative Agent, or any other provision hereof as the same applies to the rights or obligations of Administrative Agent, in each case without the consent of Administrative Agent.</w:t>
      </w:r>
    </w:p>
    <w:p>
      <w:pPr>
        <w:spacing w:after="0" w:line="128" w:lineRule="exact"/>
        <w:rPr>
          <w:rFonts w:ascii="Times New Roman" w:cs="Times New Roman" w:eastAsia="Times New Roman" w:hAnsi="Times New Roman"/>
          <w:sz w:val="18"/>
          <w:szCs w:val="18"/>
          <w:color w:val="auto"/>
        </w:rPr>
      </w:pPr>
    </w:p>
    <w:p>
      <w:pPr>
        <w:jc w:val="both"/>
        <w:ind w:firstLine="1094"/>
        <w:spacing w:after="0" w:line="226" w:lineRule="auto"/>
        <w:tabs>
          <w:tab w:leader="none" w:pos="165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Amendments, Etc.</w:t>
      </w:r>
      <w:r>
        <w:rPr>
          <w:rFonts w:ascii="Times New Roman" w:cs="Times New Roman" w:eastAsia="Times New Roman" w:hAnsi="Times New Roman"/>
          <w:sz w:val="18"/>
          <w:szCs w:val="18"/>
          <w:color w:val="auto"/>
        </w:rPr>
        <w:t xml:space="preserve"> 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binding upon each Lender at the time outstanding, each future Lender and, if signed by a Loan Party, on such Loan Party.</w:t>
      </w:r>
    </w:p>
    <w:p>
      <w:pPr>
        <w:spacing w:after="0" w:line="127"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this Agreement may be amended with the written consent of the Borrower and the Lenders providing the relevant Replacement Term Loans to permit the refinancing or replacement of all or any portion of the outstanding Term Loans of any class (such loans, the “</w:t>
      </w:r>
      <w:r>
        <w:rPr>
          <w:rFonts w:ascii="Times New Roman" w:cs="Times New Roman" w:eastAsia="Times New Roman" w:hAnsi="Times New Roman"/>
          <w:sz w:val="18"/>
          <w:szCs w:val="18"/>
          <w:u w:val="single" w:color="auto"/>
          <w:color w:val="auto"/>
        </w:rPr>
        <w:t>Replaced Term Loans</w:t>
      </w:r>
      <w:r>
        <w:rPr>
          <w:rFonts w:ascii="Times New Roman" w:cs="Times New Roman" w:eastAsia="Times New Roman" w:hAnsi="Times New Roman"/>
          <w:sz w:val="18"/>
          <w:szCs w:val="18"/>
          <w:color w:val="auto"/>
        </w:rPr>
        <w:t>”) with one or more replacement term loans hereunder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Each of the parties hereto hereby agrees that, upon the effectiveness of any Refinancing Amendment, this Agreement shall be amended by the Borrower, the Administrative Agent and the Lenders providing the relevant Replacement Term Loans, to the extent (but only to the extent) necessary to reflect the existence and terms of the Replacement Term Loans incurred pursuant thereto (including any amendments necessary to treat the loans and commitments subject thereto as a separate “tranche” and “class” of Loans, and Term Loan Commitments). It is understood that any Lender approached to provide all or a portion of Replacement Term Loans may elect or decline, in its sole discretion, to provide such Replacement Term Loans.</w:t>
      </w:r>
    </w:p>
    <w:p>
      <w:pPr>
        <w:spacing w:after="0" w:line="128"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8"/>
          <w:szCs w:val="18"/>
          <w:u w:val="single" w:color="auto"/>
          <w:color w:val="auto"/>
        </w:rPr>
        <w:t>Successors and Assigns; Participations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1094"/>
        <w:spacing w:after="0" w:line="250" w:lineRule="auto"/>
        <w:tabs>
          <w:tab w:leader="none" w:pos="16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This Agreement shall be binding upon the parties hereto and their respective successors and assigns and shall inure to the benefit of the parties hereto and the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w:t>
      </w:r>
    </w:p>
    <w:p>
      <w:pPr>
        <w:sectPr>
          <w:pgSz w:w="11900" w:h="16838" w:orient="portrait"/>
          <w:cols w:equalWidth="0" w:num="1">
            <w:col w:w="11260"/>
          </w:cols>
          <w:pgMar w:left="320" w:top="1207" w:right="319" w:bottom="1440" w:gutter="0" w:footer="0" w:header="0"/>
        </w:sectPr>
      </w:pPr>
    </w:p>
    <w:bookmarkStart w:id="172" w:name="page173"/>
    <w:bookmarkEnd w:id="172"/>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Indemnitees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28" w:lineRule="exact"/>
        <w:rPr>
          <w:sz w:val="20"/>
          <w:szCs w:val="20"/>
          <w:color w:val="auto"/>
        </w:rPr>
      </w:pPr>
    </w:p>
    <w:p>
      <w:pPr>
        <w:jc w:val="both"/>
        <w:ind w:firstLine="1094"/>
        <w:spacing w:after="0" w:line="223" w:lineRule="auto"/>
        <w:tabs>
          <w:tab w:leader="none" w:pos="165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the Register</w:t>
      </w:r>
      <w:r>
        <w:rPr>
          <w:rFonts w:ascii="Times New Roman" w:cs="Times New Roman" w:eastAsia="Times New Roman" w:hAnsi="Times New Roman"/>
          <w:sz w:val="18"/>
          <w:szCs w:val="18"/>
          <w:color w:val="auto"/>
        </w:rPr>
        <w:t xml:space="preserve">. Borrower, Administrative Agent and Lenders shall, in accordance with the Register provisions of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18"/>
          <w:szCs w:val="18"/>
          <w:u w:val="single" w:color="auto"/>
          <w:color w:val="auto"/>
        </w:rPr>
        <w:t>Section 10.6(e)</w:t>
      </w:r>
      <w:r>
        <w:rPr>
          <w:rFonts w:ascii="Times New Roman" w:cs="Times New Roman" w:eastAsia="Times New Roman" w:hAnsi="Times New Roman"/>
          <w:sz w:val="18"/>
          <w:szCs w:val="18"/>
          <w:color w:val="auto"/>
        </w:rPr>
        <w:t>. Prior to such recordation, all amounts owed with respect to the applicable Term Loan Commitment or Loan shall be owed to the Lender listed in the Register as the owner thereof.</w:t>
      </w:r>
    </w:p>
    <w:p>
      <w:pPr>
        <w:spacing w:after="0" w:line="132"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Assign</w:t>
      </w:r>
      <w:r>
        <w:rPr>
          <w:rFonts w:ascii="Times New Roman" w:cs="Times New Roman" w:eastAsia="Times New Roman" w:hAnsi="Times New Roman"/>
          <w:sz w:val="18"/>
          <w:szCs w:val="18"/>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such assignment shall be of a uniform, and not varying, percentage of all rights and obligations under and in respect of any Loan and any related Commitments):</w:t>
      </w:r>
    </w:p>
    <w:p>
      <w:pPr>
        <w:spacing w:after="0" w:line="128" w:lineRule="exact"/>
        <w:rPr>
          <w:rFonts w:ascii="Times New Roman" w:cs="Times New Roman" w:eastAsia="Times New Roman" w:hAnsi="Times New Roman"/>
          <w:sz w:val="18"/>
          <w:szCs w:val="18"/>
          <w:color w:val="auto"/>
        </w:rPr>
      </w:pPr>
    </w:p>
    <w:p>
      <w:pPr>
        <w:ind w:right="20" w:firstLine="1645"/>
        <w:spacing w:after="0" w:line="250" w:lineRule="auto"/>
        <w:tabs>
          <w:tab w:leader="none" w:pos="219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(other than a Disqualified Institution) meeting the criteria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the term of “</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upon the giving of notice to Borrower and Administrative Agent;</w:t>
      </w:r>
    </w:p>
    <w:p>
      <w:pPr>
        <w:spacing w:after="0" w:line="119"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constituting an Eligible Assignee (other than a Disqualified Institution) [***]; and</w:t>
      </w:r>
    </w:p>
    <w:p>
      <w:pPr>
        <w:spacing w:after="0" w:line="160" w:lineRule="exact"/>
        <w:rPr>
          <w:rFonts w:ascii="Times New Roman" w:cs="Times New Roman" w:eastAsia="Times New Roman" w:hAnsi="Times New Roman"/>
          <w:sz w:val="18"/>
          <w:szCs w:val="18"/>
          <w:color w:val="auto"/>
        </w:rPr>
      </w:pPr>
    </w:p>
    <w:p>
      <w:pPr>
        <w:ind w:left="2200" w:hanging="555"/>
        <w:spacing w:after="0"/>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 Event of Default, to any Person (including any Disqualified Institution).</w:t>
      </w:r>
    </w:p>
    <w:p>
      <w:pPr>
        <w:spacing w:after="0" w:line="16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in any other Loan Document, assignments and transfers of any rights or obligations under this Agreement and the other Loan Documents (including all or a portion of any Lender's Term Loan Commitment and the Loans at the time owing to it) among Blackstone Entities shall be freely permitted without the consent of, or any notice to, Administrative Agent, any Loan Party or any other Lender; provided, that Administrative Agent shall have received each of the items specified in Section 10.6(d) in respect of such assignment or transfer and such assignment or transfer shall only be effective to the extent provided in Section 10.6(g).</w:t>
      </w:r>
    </w:p>
    <w:p>
      <w:pPr>
        <w:spacing w:after="0" w:line="151" w:lineRule="exact"/>
        <w:rPr>
          <w:sz w:val="20"/>
          <w:szCs w:val="20"/>
          <w:color w:val="auto"/>
        </w:rPr>
      </w:pPr>
    </w:p>
    <w:p>
      <w:pPr>
        <w:jc w:val="both"/>
        <w:ind w:right="20" w:firstLine="1094"/>
        <w:spacing w:after="0" w:line="234" w:lineRule="auto"/>
        <w:tabs>
          <w:tab w:leader="none" w:pos="16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jc w:val="both"/>
        <w:ind w:right="20" w:firstLine="1094"/>
        <w:spacing w:after="0" w:line="234" w:lineRule="auto"/>
        <w:tabs>
          <w:tab w:leader="none" w:pos="16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Assignment</w:t>
      </w:r>
      <w:r>
        <w:rPr>
          <w:rFonts w:ascii="Times New Roman" w:cs="Times New Roman" w:eastAsia="Times New Roman" w:hAnsi="Times New Roman"/>
          <w:sz w:val="18"/>
          <w:szCs w:val="18"/>
          <w:color w:val="auto"/>
        </w:rPr>
        <w:t>. Upon its receipt and acceptance of a duly executed and completed Assignment Agreement, any forms or certificates required by this Agreement in connection therewith, Administrative Agent shall record the information contained in such Assignment Agreement in the Register, shall give prompt notice thereof to Borrower and shall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w:t>
      </w:r>
    </w:p>
    <w:p>
      <w:pPr>
        <w:sectPr>
          <w:pgSz w:w="11900" w:h="16838" w:orient="portrait"/>
          <w:cols w:equalWidth="0" w:num="1">
            <w:col w:w="11260"/>
          </w:cols>
          <w:pgMar w:left="320" w:top="1207" w:right="319" w:bottom="1440" w:gutter="0" w:footer="0" w:header="0"/>
        </w:sectPr>
      </w:pPr>
    </w:p>
    <w:bookmarkStart w:id="173" w:name="page174"/>
    <w:bookmarkEnd w:id="173"/>
    <w:p>
      <w:pPr>
        <w:spacing w:after="0" w:line="250" w:lineRule="auto"/>
        <w:rPr>
          <w:sz w:val="20"/>
          <w:szCs w:val="20"/>
          <w:color w:val="auto"/>
        </w:rPr>
      </w:pPr>
      <w:r>
        <w:rPr>
          <w:rFonts w:ascii="Times New Roman" w:cs="Times New Roman" w:eastAsia="Times New Roman" w:hAnsi="Times New Roman"/>
          <w:sz w:val="18"/>
          <w:szCs w:val="18"/>
          <w:color w:val="auto"/>
        </w:rPr>
        <w:t>maintain a copy of such Assignment Agreement; provided that no such notice to the Borrower shall be required in connection with any assignment to an Affiliate of the assigning Lender.</w:t>
      </w:r>
    </w:p>
    <w:p>
      <w:pPr>
        <w:spacing w:after="0" w:line="120" w:lineRule="exact"/>
        <w:rPr>
          <w:sz w:val="20"/>
          <w:szCs w:val="20"/>
          <w:color w:val="auto"/>
        </w:rPr>
      </w:pPr>
    </w:p>
    <w:p>
      <w:pPr>
        <w:jc w:val="both"/>
        <w:ind w:firstLine="1094"/>
        <w:spacing w:after="0" w:line="223" w:lineRule="auto"/>
        <w:tabs>
          <w:tab w:leader="none" w:pos="165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Assignee</w:t>
      </w:r>
      <w:r>
        <w:rPr>
          <w:rFonts w:ascii="Times New Roman" w:cs="Times New Roman" w:eastAsia="Times New Roman" w:hAnsi="Times New Roman"/>
          <w:sz w:val="18"/>
          <w:szCs w:val="18"/>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and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w:t>
      </w:r>
    </w:p>
    <w:p>
      <w:pPr>
        <w:spacing w:after="0" w:line="132" w:lineRule="exact"/>
        <w:rPr>
          <w:rFonts w:ascii="Times New Roman" w:cs="Times New Roman" w:eastAsia="Times New Roman" w:hAnsi="Times New Roman"/>
          <w:sz w:val="18"/>
          <w:szCs w:val="18"/>
          <w:color w:val="auto"/>
        </w:rPr>
      </w:pPr>
    </w:p>
    <w:p>
      <w:pPr>
        <w:jc w:val="both"/>
        <w:ind w:firstLine="1094"/>
        <w:spacing w:after="0" w:line="217" w:lineRule="auto"/>
        <w:tabs>
          <w:tab w:leader="none" w:pos="165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Assignment</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as of the later (i) 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specified in the applicable Assignment Agreement or (ii) the date such assignment is recorded in the Register: (A) the assignee thereunder shall have the rights and obligations of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hereunder to the extent such rights and obligations hereunder have been assigned to it pursuant to such Assignment Agreement and shall thereafter be a party hereto and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for all purposes hereof; (B) the assigning Lender thereunder shall, to the extent that rights and obligations hereunder have been assigned thereby pursuant to such Assignment Agreement, relinquish its rights (other than any rights that survive the termination hereof under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Administrative Agent for cancellation, and thereupon Borrower shall issue and deliver new Notes, if so requested by the assignee or assigning Lender, to such assignee or to such assigning Lender, with appropriate insertions, to reflect the new Commitments or outstanding Loans of the assignee or the assigning Lender.</w:t>
      </w:r>
    </w:p>
    <w:p>
      <w:pPr>
        <w:spacing w:after="0" w:line="135"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1645"/>
        <w:spacing w:after="0" w:line="219" w:lineRule="auto"/>
        <w:tabs>
          <w:tab w:leader="none" w:pos="219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 if the participant’s participation is not increased as a result thereof), (ii) consent to the assignment or transfer by any Loan Party of any of its rights and obligations under this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w:t>
      </w:r>
    </w:p>
    <w:p>
      <w:pPr>
        <w:sectPr>
          <w:pgSz w:w="11900" w:h="16838" w:orient="portrait"/>
          <w:cols w:equalWidth="0" w:num="1">
            <w:col w:w="11260"/>
          </w:cols>
          <w:pgMar w:left="320" w:top="1207" w:right="319" w:bottom="1440" w:gutter="0" w:footer="0" w:header="0"/>
        </w:sectPr>
      </w:pPr>
    </w:p>
    <w:bookmarkStart w:id="174" w:name="page175"/>
    <w:bookmarkEnd w:id="174"/>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Borrower agrees that each participant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subject to the requirements and limitations of such Sections (it being understood that the documentation required under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shall be delivered solely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as though it were a Lender, provided such participant shall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w:t>
      </w:r>
    </w:p>
    <w:p>
      <w:pPr>
        <w:spacing w:after="0" w:line="130" w:lineRule="exact"/>
        <w:rPr>
          <w:sz w:val="20"/>
          <w:szCs w:val="20"/>
          <w:color w:val="auto"/>
        </w:rPr>
      </w:pPr>
    </w:p>
    <w:p>
      <w:pPr>
        <w:jc w:val="both"/>
        <w:ind w:firstLine="551"/>
        <w:spacing w:after="0" w:line="216" w:lineRule="auto"/>
        <w:rPr>
          <w:sz w:val="20"/>
          <w:szCs w:val="20"/>
          <w:color w:val="auto"/>
        </w:rPr>
      </w:pPr>
      <w:r>
        <w:rPr>
          <w:rFonts w:ascii="Times New Roman" w:cs="Times New Roman" w:eastAsia="Times New Roman" w:hAnsi="Times New Roman"/>
          <w:sz w:val="18"/>
          <w:szCs w:val="18"/>
          <w:color w:val="auto"/>
        </w:rPr>
        <w:t>In the event that any Lender sells participations in its Commitments, Loans or in any other Obligation hereunder, such Lender shall, acting solely for this purpose as a non-fiduciary agent of Borrower, maintain a register on which it enters the name and address of all participants in the Commitments, Loans or Obligations held by it and the principal amount (and stated interest thereon) of the portion of such Commitments, Loans or Obligations that are the subject of the participation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the Internal Revenue Code or Treasury Regulations, including without limitation Section 5f.103-1(c) of the United States Treasury Regulations and Proposed Treasury Regulations Section 1.163-5 (and any amended or successor provisions).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 Participant Register (and each Note shall expressly so provide). The Participant Register shall be available for inspection by Borrower at any reasonable time and from time to time upon reasonable prior notice. For the avoidance of doubt, Administrative Agent (in its capacity as administrative agent) shall not have any responsibility for maintaining a Participant Register. The parties intend that any interest in or with respect to the Loans under this Agreement be treated as being issued and maintained in “registered form” within the meaning of Sections 163(f), 871(h)(2), and 881(c)(2) of the Internal Revenue Code and any regulations thereunder (and any amended or successor provisions), including without limitation under United States Treasury Regulations Section 5f.103-1(c) and Proposed Treasury Regulations Section 1.163-5 (and any amended or successor provisions).</w:t>
      </w:r>
    </w:p>
    <w:p>
      <w:pPr>
        <w:spacing w:after="0" w:line="140" w:lineRule="exact"/>
        <w:rPr>
          <w:sz w:val="20"/>
          <w:szCs w:val="20"/>
          <w:color w:val="auto"/>
        </w:rPr>
      </w:pPr>
    </w:p>
    <w:p>
      <w:pPr>
        <w:jc w:val="both"/>
        <w:ind w:firstLine="1094"/>
        <w:spacing w:after="0" w:line="222" w:lineRule="auto"/>
        <w:tabs>
          <w:tab w:leader="none" w:pos="164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Assignments</w:t>
      </w:r>
      <w:r>
        <w:rPr>
          <w:rFonts w:ascii="Times New Roman" w:cs="Times New Roman" w:eastAsia="Times New Roman" w:hAnsi="Times New Roman"/>
          <w:sz w:val="18"/>
          <w:szCs w:val="18"/>
          <w:color w:val="auto"/>
        </w:rPr>
        <w:t xml:space="preserve">. In addition to any other assignment permitted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any Lender or Administrative Agent may assign, pledge 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Lender or Administrative Agent, as between Borrower and such Lender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w:t>
      </w:r>
    </w:p>
    <w:p>
      <w:pPr>
        <w:sectPr>
          <w:pgSz w:w="11900" w:h="16838" w:orient="portrait"/>
          <w:cols w:equalWidth="0" w:num="1">
            <w:col w:w="11260"/>
          </w:cols>
          <w:pgMar w:left="320" w:top="1207" w:right="319" w:bottom="1440" w:gutter="0" w:footer="0" w:header="0"/>
        </w:sectPr>
      </w:pPr>
    </w:p>
    <w:bookmarkStart w:id="175" w:name="page176"/>
    <w:bookmarkEnd w:id="175"/>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 xml:space="preserve">Administrative Agent, shall be relieved of any of its obligations hereunder as a result of any such assignment and pledge;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in no event shall such Person, agent, trustee or representative of such Person or the applicable Federal Reserve Bank be considered to be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or be entitled to require the assigning Lender or Administrative Agent to take or omit to take any action hereunder.</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29"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Survival of Representations, Warranties and Agreements</w:t>
      </w:r>
      <w:r>
        <w:rPr>
          <w:rFonts w:ascii="Times New Roman" w:cs="Times New Roman" w:eastAsia="Times New Roman" w:hAnsi="Times New Roman"/>
          <w:sz w:val="18"/>
          <w:szCs w:val="18"/>
          <w:color w:val="auto"/>
        </w:rPr>
        <w:t xml:space="preserve">. All representations, warranties and agreements made herein shall survive the execution and delivery hereof and the making of any Credit Extension. Notwithstanding anything herein or implied by law to the contrary, the agreements of each Loan Party set forth in Sections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the agreements of Lenders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 xml:space="preserve"> shall survive the payment of the Term Loans and the termination hereof.</w:t>
      </w:r>
    </w:p>
    <w:p>
      <w:pPr>
        <w:spacing w:after="0" w:line="129"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Administrative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30" w:lineRule="exact"/>
        <w:rPr>
          <w:sz w:val="20"/>
          <w:szCs w:val="20"/>
          <w:color w:val="auto"/>
        </w:rPr>
      </w:pPr>
    </w:p>
    <w:p>
      <w:pPr>
        <w:jc w:val="both"/>
        <w:ind w:firstLine="551"/>
        <w:spacing w:after="0" w:line="221"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Marshalling; Payments Set Aside</w:t>
      </w:r>
      <w:r>
        <w:rPr>
          <w:rFonts w:ascii="Times New Roman" w:cs="Times New Roman" w:eastAsia="Times New Roman" w:hAnsi="Times New Roman"/>
          <w:sz w:val="18"/>
          <w:szCs w:val="18"/>
          <w:color w:val="auto"/>
        </w:rPr>
        <w:t>. Neither Administrative Agent nor any Lender shall be under any obligation to 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29"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29"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Obligations Several; Independent Nature of Lenders’ Rights</w:t>
      </w:r>
      <w:r>
        <w:rPr>
          <w:rFonts w:ascii="Times New Roman" w:cs="Times New Roman" w:eastAsia="Times New Roman" w:hAnsi="Times New Roman"/>
          <w:sz w:val="18"/>
          <w:szCs w:val="18"/>
          <w:color w:val="auto"/>
        </w:rPr>
        <w:t>. The obligations of Lenders hereunder are several and no Lender shall be responsible for the obligations or Commitment of any other Lender hereunder. Nothing contained herein or in any other Loan Document, and no action taken by Lenders pursuant hereto or thereto,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- 125 -</w:t>
      </w:r>
    </w:p>
    <w:p>
      <w:pPr>
        <w:sectPr>
          <w:pgSz w:w="11900" w:h="16838" w:orient="portrait"/>
          <w:cols w:equalWidth="0" w:num="1">
            <w:col w:w="11260"/>
          </w:cols>
          <w:pgMar w:left="320" w:top="1207" w:right="319" w:bottom="1440" w:gutter="0" w:footer="0" w:header="0"/>
        </w:sectPr>
      </w:pPr>
    </w:p>
    <w:bookmarkStart w:id="176" w:name="page177"/>
    <w:bookmarkEnd w:id="176"/>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deemed to constitute Lenders as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For purposes of Sections 1272, 1273 and 1275 of the Internal Revenue Code, the Initial Term Loans and each Delayed Draw Term Loan is being issued with original issue discount; please contact the Borrower as indicated on Appendix B to obtain information regarding the issue date, issue price, the amount of original issue discount and the yield to maturity.</w:t>
      </w:r>
    </w:p>
    <w:p>
      <w:pPr>
        <w:spacing w:after="0" w:line="129" w:lineRule="exact"/>
        <w:rPr>
          <w:sz w:val="20"/>
          <w:szCs w:val="20"/>
          <w:color w:val="auto"/>
        </w:rPr>
      </w:pPr>
    </w:p>
    <w:p>
      <w:pPr>
        <w:jc w:val="both"/>
        <w:ind w:right="20"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 other purpose or be given any substantive effect.</w:t>
      </w:r>
    </w:p>
    <w:p>
      <w:pPr>
        <w:spacing w:after="0" w:line="120"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094"/>
        <w:spacing w:after="0" w:line="218" w:lineRule="auto"/>
        <w:tabs>
          <w:tab w:leader="none" w:pos="16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JUDICIAL PROCEEDINGS BROUGHT AGAINST ANY PARTY HERETO ARISING OUT OF OR RELATING HERETO OR ANY OTHER LOAN DOCUMENT, OR ANY OF THE OBLIGATIONS, MAY BE BROUGHT IN ANY STATE OR FEDERAL COURT OF COMPETENT JURISDICTION IN THE STATE, COUNTY AND CITY OF NEW YORK. BY EXECUTING AND DELIVERING THIS AGREEMENT, EACH PARTY HERETO,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SUFFICIENT TO CONFER PERSONAL JURISDICTION OVER THE APPLICABLE LOAN PARTY IN ANY SUCH PROCEEDING IN ANY SUCH COURT, AND OTHERWISE CONSTITUTES EFFECTIVE AND BINDING SERVICE IN EVERY RESPECT; AND (IV) AGREES THAT ADMINISTRATIVE AGENT AND LENDERS RETAIN THE RIGHT TO SERVE PROCESS IN ANY OTHER MANNER PERMITTED BY LAW OR TO BRING PROCEEDINGS AGAINST ANY LOAN PARTY IN THE COURTS OF ANY OTHER JURISDICTION.</w:t>
      </w:r>
    </w:p>
    <w:p>
      <w:pPr>
        <w:spacing w:after="0" w:line="132" w:lineRule="exact"/>
        <w:rPr>
          <w:rFonts w:ascii="Times New Roman" w:cs="Times New Roman" w:eastAsia="Times New Roman" w:hAnsi="Times New Roman"/>
          <w:sz w:val="18"/>
          <w:szCs w:val="18"/>
          <w:color w:val="auto"/>
        </w:rPr>
      </w:pPr>
    </w:p>
    <w:p>
      <w:pPr>
        <w:jc w:val="both"/>
        <w:ind w:firstLine="1094"/>
        <w:spacing w:after="0" w:line="229" w:lineRule="auto"/>
        <w:tabs>
          <w:tab w:leader="none" w:pos="165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AGREES THAT PROCESS MAY BE SERVED ON IT BY CERTIFIED MAIL, RETURN RECEIPT REQUESTED, TO THE ADDRESSES PERTAINING TO IT AS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ANY AND ALL SERVICE OF PROCESS AND ANY OTHER NOTICE IN ANY SUCH ACTION, SUIT OR PROCEEDING SHALL BE EFFECTIVE AGAINST ANY LOAN PARTY IF GIVEN BY REGISTERED OR CERTIFIED MAIL, RETURN RECEIPT REQUESTED, OR BY 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480" w:hanging="101"/>
        <w:spacing w:after="0"/>
        <w:tabs>
          <w:tab w:leader="none" w:pos="54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w:t>
      </w:r>
    </w:p>
    <w:p>
      <w:pPr>
        <w:sectPr>
          <w:pgSz w:w="11900" w:h="16838" w:orient="portrait"/>
          <w:cols w:equalWidth="0" w:num="1">
            <w:col w:w="11260"/>
          </w:cols>
          <w:pgMar w:left="320" w:top="1207"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OTHER MEANS OR MAIL THAT REQUIRES A SIGNED RECEIPT, POSTAGE PREPAID, MAILED AS PROVIDED ABOVE.</w:t>
      </w:r>
    </w:p>
    <w:p>
      <w:pPr>
        <w:spacing w:after="0" w:line="160" w:lineRule="exact"/>
        <w:rPr>
          <w:sz w:val="20"/>
          <w:szCs w:val="20"/>
          <w:color w:val="auto"/>
        </w:rPr>
      </w:pPr>
    </w:p>
    <w:p>
      <w:pPr>
        <w:jc w:val="both"/>
        <w:ind w:firstLine="551"/>
        <w:spacing w:after="0" w:line="230"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33" w:lineRule="exact"/>
        <w:rPr>
          <w:sz w:val="20"/>
          <w:szCs w:val="20"/>
          <w:color w:val="auto"/>
        </w:rPr>
      </w:pPr>
    </w:p>
    <w:p>
      <w:pPr>
        <w:jc w:val="both"/>
        <w:ind w:firstLine="551"/>
        <w:spacing w:after="0" w:line="217"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Administrative Agent and Lender shall hold all non-public information regarding Borrower and its Subsidiaries and their businesses identified as such by Borrower and obtained by such Lender from Borrower or its Subsidiaries confidential, it being understood and agreed by Borrower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(ii) disclosures of such information reasonably required by any bona fide or potential assignee, transferee or participant in connection with the contemplated assignment, transfer or participation by any such Lender of any Loans or any participations therein, subject to such person entereing into a customary confidentiality agreement, (iii) disclosure to any rating agency when required by it, (iv) disclosure to any Lender’s financing sources, provided that prior to any disclosure, such financing source is subject to customary confidentiality obligations, (v) disclosures of such information to any actual or potential investors, members, and partners of Administrative Agent any Lender or their Affiliates, provided that prior to any disclosure, such investor or partner is informed of the confidential nature of the information,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provided, unless specifically prohibited by applicable law or court order, Administrative Agent and Lender shall make reasonable efforts to notify Borrower of any request by any Governmental Authority or representative thereof (other than any such request in connection with any examination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- 127 -</w:t>
      </w:r>
    </w:p>
    <w:p>
      <w:pPr>
        <w:sectPr>
          <w:pgSz w:w="11900" w:h="16838" w:orient="portrait"/>
          <w:cols w:equalWidth="0" w:num="1">
            <w:col w:w="11260"/>
          </w:cols>
          <w:pgMar w:left="320" w:top="1207" w:right="319" w:bottom="1440" w:gutter="0" w:footer="0" w:header="0"/>
        </w:sectPr>
      </w:pPr>
    </w:p>
    <w:bookmarkStart w:id="178" w:name="page179"/>
    <w:bookmarkEnd w:id="178"/>
    <w:p>
      <w:pPr>
        <w:jc w:val="both"/>
        <w:spacing w:after="0" w:line="225" w:lineRule="auto"/>
        <w:rPr>
          <w:sz w:val="20"/>
          <w:szCs w:val="20"/>
          <w:color w:val="auto"/>
        </w:rPr>
      </w:pPr>
      <w:r>
        <w:rPr>
          <w:rFonts w:ascii="Times New Roman" w:cs="Times New Roman" w:eastAsia="Times New Roman" w:hAnsi="Times New Roman"/>
          <w:sz w:val="18"/>
          <w:szCs w:val="18"/>
          <w:color w:val="auto"/>
        </w:rPr>
        <w:t>financial condition or other routine examination of such Lender by such Governmental Authority) for disclosure of any such non-public information prior to disclosure of such information, and (vii) disclosures on a confidential basis to the CUSIP Service Bureau, Clearpar or Loanserv or any similar agency in connection with the issuance and monitoring of CUSIP numbers, Private Placement Numbers (“</w:t>
      </w:r>
      <w:r>
        <w:rPr>
          <w:rFonts w:ascii="Times New Roman" w:cs="Times New Roman" w:eastAsia="Times New Roman" w:hAnsi="Times New Roman"/>
          <w:sz w:val="18"/>
          <w:szCs w:val="18"/>
          <w:u w:val="single" w:color="auto"/>
          <w:color w:val="auto"/>
        </w:rPr>
        <w:t>PPNs</w:t>
      </w:r>
      <w:r>
        <w:rPr>
          <w:rFonts w:ascii="Times New Roman" w:cs="Times New Roman" w:eastAsia="Times New Roman" w:hAnsi="Times New Roman"/>
          <w:sz w:val="18"/>
          <w:szCs w:val="18"/>
          <w:color w:val="auto"/>
        </w:rPr>
        <w:t>”) or any other similar numbers with respect to the Loans.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 w:cs="Times New Roman" w:eastAsia="Times New Roman" w:hAnsi="Times New Roman"/>
          <w:sz w:val="18"/>
          <w:szCs w:val="18"/>
          <w:u w:val="single" w:color="auto"/>
          <w:color w:val="auto"/>
        </w:rPr>
        <w:t>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Announcements</w:t>
      </w:r>
      <w:r>
        <w:rPr>
          <w:rFonts w:ascii="Times New Roman" w:cs="Times New Roman" w:eastAsia="Times New Roman" w:hAnsi="Times New Roman"/>
          <w:sz w:val="18"/>
          <w:szCs w:val="18"/>
          <w:color w:val="auto"/>
        </w:rPr>
        <w:t xml:space="preserve">”). No Loan Party shall (i) issue any Trade Announcement or (ii) disclose the name of any Administrative Agent or any Lender except in the case of clause (ii) (A) disclosures required by applicable law, regulation, legal process or the rules of the Securities and Exchange Commission, (B) on a confidential basis to the Borrower’s controlled Affiliates and Subsidiaries and the Borrower’s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(D) to a Tax authority, to the extent reasonably necessary in connection with the Tax affairs of the Borrower or any of its Affiliates or (E) with the prior approval of Administrative Agent and such Lender. The respective obligations of Administrative Agent and Lender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survive, to the extent applicable to such Person, for a period of two (2) years after the earliest of (x) the payment in full of the Obligations and the termination of this Agreement, (y) any assignment of its rights and obligations under this Agreement by such Person and (z) the resignation or removal of such Person as an Administrative Agent.</w:t>
      </w:r>
    </w:p>
    <w:p>
      <w:pPr>
        <w:spacing w:after="0" w:line="130" w:lineRule="exact"/>
        <w:rPr>
          <w:sz w:val="20"/>
          <w:szCs w:val="20"/>
          <w:color w:val="auto"/>
        </w:rPr>
      </w:pPr>
    </w:p>
    <w:p>
      <w:pPr>
        <w:jc w:val="both"/>
        <w:ind w:firstLine="551"/>
        <w:spacing w:after="0" w:line="219"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Usury Savings Clause</w:t>
      </w:r>
      <w:r>
        <w:rPr>
          <w:rFonts w:ascii="Times New Roman" w:cs="Times New Roman" w:eastAsia="Times New Roman" w:hAnsi="Times New Roman"/>
          <w:sz w:val="18"/>
          <w:szCs w:val="18"/>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that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that would have been due hereunder if the stated rates of interest set forth in this Agreement had at all times been in effect, then to the extent permitted by law, Borrower shall pay to Administrative Agent an amount equal to the difference between the amount of interest paid and the amount of interest that would have been paid if the Highest Lawful Rate had at all times been in effect. Notwithstanding the foregoing, it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- 128 -</w:t>
      </w:r>
    </w:p>
    <w:p>
      <w:pPr>
        <w:sectPr>
          <w:pgSz w:w="11900" w:h="16838" w:orient="portrait"/>
          <w:cols w:equalWidth="0" w:num="1">
            <w:col w:w="11260"/>
          </w:cols>
          <w:pgMar w:left="320" w:top="1207" w:right="319" w:bottom="1440" w:gutter="0" w:footer="0" w:header="0"/>
        </w:sectPr>
      </w:pPr>
    </w:p>
    <w:bookmarkStart w:id="179" w:name="page180"/>
    <w:bookmarkEnd w:id="179"/>
    <w:p>
      <w:pPr>
        <w:jc w:val="both"/>
        <w:spacing w:after="0" w:line="222" w:lineRule="auto"/>
        <w:rPr>
          <w:sz w:val="20"/>
          <w:szCs w:val="20"/>
          <w:color w:val="auto"/>
        </w:rPr>
      </w:pPr>
      <w:r>
        <w:rPr>
          <w:rFonts w:ascii="Times New Roman" w:cs="Times New Roman" w:eastAsia="Times New Roman" w:hAnsi="Times New Roman"/>
          <w:sz w:val="18"/>
          <w:szCs w:val="18"/>
          <w:color w:val="auto"/>
        </w:rPr>
        <w:t>intention of Lenders and Borrower to conform strictly to any applicable usury laws. Accordingly, if any Lender contracts for, charges, or receives any consideration that constitutes interest in excess of the Highest Lawful Rate, then any such excess shall be cancelled automatically and, if previously paid, shall at such Lender’s option be applied to the outstanding amount of the Loans made hereunder or be refunded to Borrower.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30" w:lineRule="exact"/>
        <w:rPr>
          <w:sz w:val="20"/>
          <w:szCs w:val="20"/>
          <w:color w:val="auto"/>
        </w:rPr>
      </w:pPr>
    </w:p>
    <w:p>
      <w:pPr>
        <w:jc w:val="both"/>
        <w:ind w:firstLine="551"/>
        <w:spacing w:after="0" w:line="218"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upon the execution of a counterpart hereof by each of the parties hereto and receipt by Borrower and Administrative Agent of written notification of such execution and authorization of delivery thereof.</w:t>
      </w:r>
    </w:p>
    <w:p>
      <w:pPr>
        <w:spacing w:after="0" w:line="120" w:lineRule="exact"/>
        <w:rPr>
          <w:sz w:val="20"/>
          <w:szCs w:val="20"/>
          <w:color w:val="auto"/>
        </w:rPr>
      </w:pPr>
    </w:p>
    <w:p>
      <w:pPr>
        <w:jc w:val="both"/>
        <w:ind w:firstLine="551"/>
        <w:spacing w:after="0" w:line="229"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Loan Party that is organized outside of the United States hereby appoints Borrower as its agent for the purpose of accepting service of any process in the United States with respect to any Loan Document and the transactions contemplated thereby.</w:t>
      </w:r>
    </w:p>
    <w:p>
      <w:pPr>
        <w:spacing w:after="0" w:line="120"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18"/>
          <w:szCs w:val="18"/>
          <w:color w:val="auto"/>
        </w:rPr>
        <w:t xml:space="preserve">Section 10.26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- 129 -</w:t>
      </w:r>
    </w:p>
    <w:p>
      <w:pPr>
        <w:sectPr>
          <w:pgSz w:w="11900" w:h="16838" w:orient="portrait"/>
          <w:cols w:equalWidth="0" w:num="1">
            <w:col w:w="11260"/>
          </w:cols>
          <w:pgMar w:left="320" w:top="1207"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conversion powers of the applicable Resolution Authority and agrees and consents to, and acknowledges and agrees to be bound by:</w:t>
      </w:r>
    </w:p>
    <w:p>
      <w:pPr>
        <w:spacing w:after="0" w:line="160" w:lineRule="exact"/>
        <w:rPr>
          <w:sz w:val="20"/>
          <w:szCs w:val="20"/>
          <w:color w:val="auto"/>
        </w:rPr>
      </w:pPr>
    </w:p>
    <w:p>
      <w:pPr>
        <w:ind w:firstLine="1094"/>
        <w:spacing w:after="0" w:line="250" w:lineRule="auto"/>
        <w:tabs>
          <w:tab w:leader="none" w:pos="16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19"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60" w:lineRule="exact"/>
        <w:rPr>
          <w:rFonts w:ascii="Times New Roman" w:cs="Times New Roman" w:eastAsia="Times New Roman" w:hAnsi="Times New Roman"/>
          <w:sz w:val="18"/>
          <w:szCs w:val="18"/>
          <w:color w:val="auto"/>
        </w:rPr>
      </w:pPr>
    </w:p>
    <w:p>
      <w:pPr>
        <w:ind w:left="2180" w:hanging="535"/>
        <w:spacing w:after="0"/>
        <w:tabs>
          <w:tab w:leader="none" w:pos="21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60" w:lineRule="exact"/>
        <w:rPr>
          <w:rFonts w:ascii="Times New Roman" w:cs="Times New Roman" w:eastAsia="Times New Roman" w:hAnsi="Times New Roman"/>
          <w:sz w:val="18"/>
          <w:szCs w:val="18"/>
          <w:color w:val="auto"/>
        </w:rPr>
      </w:pPr>
    </w:p>
    <w:p>
      <w:pPr>
        <w:jc w:val="both"/>
        <w:ind w:firstLine="1645"/>
        <w:spacing w:after="0" w:line="234" w:lineRule="auto"/>
        <w:tabs>
          <w:tab w:leader="none" w:pos="219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9" w:lineRule="exact"/>
        <w:rPr>
          <w:rFonts w:ascii="Times New Roman" w:cs="Times New Roman" w:eastAsia="Times New Roman" w:hAnsi="Times New Roman"/>
          <w:sz w:val="18"/>
          <w:szCs w:val="18"/>
          <w:color w:val="auto"/>
        </w:rPr>
      </w:pPr>
    </w:p>
    <w:p>
      <w:pPr>
        <w:ind w:right="20" w:firstLine="1645"/>
        <w:spacing w:after="0" w:line="250" w:lineRule="auto"/>
        <w:tabs>
          <w:tab w:leader="none" w:pos="220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- 130 -</w:t>
      </w:r>
    </w:p>
    <w:p>
      <w:pPr>
        <w:sectPr>
          <w:pgSz w:w="11900" w:h="16838" w:orient="portrait"/>
          <w:cols w:equalWidth="0" w:num="1">
            <w:col w:w="11260"/>
          </w:cols>
          <w:pgMar w:left="320" w:top="1208" w:right="319" w:bottom="1440" w:gutter="0" w:footer="0" w:header="0"/>
        </w:sectPr>
      </w:pPr>
    </w:p>
    <w:bookmarkStart w:id="181" w:name="page182"/>
    <w:bookmarkEnd w:id="181"/>
    <w:p>
      <w:pPr>
        <w:ind w:firstLine="551"/>
        <w:spacing w:after="0" w:line="290"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by their respective officers thereunto duly authorized as of the date and year first written above.</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CARIS LIFE SCIENCES, INC., as the Borrower</w:t>
      </w:r>
    </w:p>
    <w:p>
      <w:pPr>
        <w:spacing w:after="0" w:line="200" w:lineRule="exact"/>
        <w:rPr>
          <w:sz w:val="20"/>
          <w:szCs w:val="20"/>
          <w:color w:val="auto"/>
        </w:rPr>
      </w:pPr>
    </w:p>
    <w:p>
      <w:pPr>
        <w:spacing w:after="0" w:line="397" w:lineRule="exact"/>
        <w:rPr>
          <w:sz w:val="20"/>
          <w:szCs w:val="20"/>
          <w:color w:val="auto"/>
        </w:rPr>
      </w:pPr>
    </w:p>
    <w:p>
      <w:pPr>
        <w:ind w:left="3860"/>
        <w:spacing w:after="0"/>
        <w:tabs>
          <w:tab w:leader="none" w:pos="4280" w:val="left"/>
        </w:tabs>
        <w:rPr>
          <w:sz w:val="20"/>
          <w:szCs w:val="20"/>
          <w:color w:val="auto"/>
        </w:rPr>
      </w:pPr>
      <w:r>
        <w:rPr>
          <w:rFonts w:ascii="Times New Roman" w:cs="Times New Roman" w:eastAsia="Times New Roman" w:hAnsi="Times New Roman"/>
          <w:sz w:val="18"/>
          <w:szCs w:val="18"/>
          <w:color w:val="auto"/>
        </w:rPr>
        <w:t>By:</w:t>
        <w:tab/>
        <w:t>David Dean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-6985</wp:posOffset>
            </wp:positionV>
            <wp:extent cx="11728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172845" cy="698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500" w:val="left"/>
        </w:tabs>
        <w:rPr>
          <w:sz w:val="20"/>
          <w:szCs w:val="20"/>
          <w:color w:val="auto"/>
        </w:rPr>
      </w:pPr>
      <w:r>
        <w:rPr>
          <w:rFonts w:ascii="Times New Roman" w:cs="Times New Roman" w:eastAsia="Times New Roman" w:hAnsi="Times New Roman"/>
          <w:sz w:val="18"/>
          <w:szCs w:val="18"/>
          <w:color w:val="auto"/>
        </w:rPr>
        <w:t>Name:</w:t>
        <w:tab/>
        <w:t>David Dean Halbert</w:t>
      </w:r>
    </w:p>
    <w:p>
      <w:pPr>
        <w:spacing w:after="0" w:line="11" w:lineRule="exact"/>
        <w:rPr>
          <w:sz w:val="20"/>
          <w:szCs w:val="20"/>
          <w:color w:val="auto"/>
        </w:rPr>
      </w:pPr>
    </w:p>
    <w:p>
      <w:pPr>
        <w:ind w:left="3860"/>
        <w:spacing w:after="0"/>
        <w:tabs>
          <w:tab w:leader="none" w:pos="4400" w:val="left"/>
        </w:tabs>
        <w:rPr>
          <w:sz w:val="20"/>
          <w:szCs w:val="20"/>
          <w:color w:val="auto"/>
        </w:rPr>
      </w:pPr>
      <w:r>
        <w:rPr>
          <w:rFonts w:ascii="Times New Roman" w:cs="Times New Roman" w:eastAsia="Times New Roman" w:hAnsi="Times New Roman"/>
          <w:sz w:val="18"/>
          <w:szCs w:val="18"/>
          <w:color w:val="auto"/>
        </w:rPr>
        <w:t>Title:</w:t>
        <w:tab/>
        <w:t>Chairman &amp; Chief Executive Officer</w:t>
      </w:r>
    </w:p>
    <w:p>
      <w:pPr>
        <w:spacing w:after="0" w:line="200" w:lineRule="exact"/>
        <w:rPr>
          <w:sz w:val="20"/>
          <w:szCs w:val="20"/>
          <w:color w:val="auto"/>
        </w:rPr>
      </w:pPr>
    </w:p>
    <w:p>
      <w:pPr>
        <w:spacing w:after="0" w:line="36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CARIS MPI,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CARIS PHARMATECH, INC.,</w:t>
      </w:r>
    </w:p>
    <w:p>
      <w:pPr>
        <w:spacing w:after="0" w:line="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CARIS SCIENCE, INC.,</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CARIS SECURITY, LLC, and</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CARIS THERAPEUTICS, INC.,</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00" w:lineRule="exact"/>
        <w:rPr>
          <w:sz w:val="20"/>
          <w:szCs w:val="20"/>
          <w:color w:val="auto"/>
        </w:rPr>
      </w:pPr>
    </w:p>
    <w:p>
      <w:pPr>
        <w:spacing w:after="0" w:line="365" w:lineRule="exact"/>
        <w:rPr>
          <w:sz w:val="20"/>
          <w:szCs w:val="20"/>
          <w:color w:val="auto"/>
        </w:rPr>
      </w:pPr>
    </w:p>
    <w:p>
      <w:pPr>
        <w:ind w:left="3860"/>
        <w:spacing w:after="0"/>
        <w:tabs>
          <w:tab w:leader="none" w:pos="4280" w:val="left"/>
        </w:tabs>
        <w:rPr>
          <w:sz w:val="20"/>
          <w:szCs w:val="20"/>
          <w:color w:val="auto"/>
        </w:rPr>
      </w:pPr>
      <w:r>
        <w:rPr>
          <w:rFonts w:ascii="Times New Roman" w:cs="Times New Roman" w:eastAsia="Times New Roman" w:hAnsi="Times New Roman"/>
          <w:sz w:val="18"/>
          <w:szCs w:val="18"/>
          <w:color w:val="auto"/>
        </w:rPr>
        <w:t>By:</w:t>
        <w:tab/>
        <w:t>David Dean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-6985</wp:posOffset>
            </wp:positionV>
            <wp:extent cx="11728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172845" cy="6985"/>
                    </a:xfrm>
                    <a:prstGeom prst="rect">
                      <a:avLst/>
                    </a:prstGeom>
                    <a:noFill/>
                  </pic:spPr>
                </pic:pic>
              </a:graphicData>
            </a:graphic>
          </wp:anchor>
        </w:drawing>
      </w:r>
    </w:p>
    <w:p>
      <w:pPr>
        <w:spacing w:after="0" w:line="11" w:lineRule="exact"/>
        <w:rPr>
          <w:sz w:val="20"/>
          <w:szCs w:val="20"/>
          <w:color w:val="auto"/>
        </w:rPr>
      </w:pPr>
    </w:p>
    <w:p>
      <w:pPr>
        <w:ind w:left="3860"/>
        <w:spacing w:after="0"/>
        <w:tabs>
          <w:tab w:leader="none" w:pos="4500" w:val="left"/>
        </w:tabs>
        <w:rPr>
          <w:sz w:val="20"/>
          <w:szCs w:val="20"/>
          <w:color w:val="auto"/>
        </w:rPr>
      </w:pPr>
      <w:r>
        <w:rPr>
          <w:rFonts w:ascii="Times New Roman" w:cs="Times New Roman" w:eastAsia="Times New Roman" w:hAnsi="Times New Roman"/>
          <w:sz w:val="18"/>
          <w:szCs w:val="18"/>
          <w:color w:val="auto"/>
        </w:rPr>
        <w:t>Name:</w:t>
        <w:tab/>
        <w:t>David Dean Halbert</w:t>
      </w:r>
    </w:p>
    <w:p>
      <w:pPr>
        <w:spacing w:after="0" w:line="13" w:lineRule="exact"/>
        <w:rPr>
          <w:sz w:val="20"/>
          <w:szCs w:val="20"/>
          <w:color w:val="auto"/>
        </w:rPr>
      </w:pPr>
    </w:p>
    <w:p>
      <w:pPr>
        <w:jc w:val="center"/>
        <w:ind w:right="2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tab/>
        <w:t>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11240"/>
          </w:cols>
          <w:pgMar w:left="320" w:top="1230" w:right="339" w:bottom="1440" w:gutter="0" w:footer="0" w:header="0"/>
        </w:sectPr>
      </w:pPr>
    </w:p>
    <w:bookmarkStart w:id="182" w:name="page183"/>
    <w:bookmarkEnd w:id="182"/>
    <w:p>
      <w:pPr>
        <w:ind w:left="2520"/>
        <w:spacing w:after="0"/>
        <w:rPr>
          <w:sz w:val="20"/>
          <w:szCs w:val="20"/>
          <w:color w:val="auto"/>
        </w:rPr>
      </w:pPr>
      <w:r>
        <w:rPr>
          <w:rFonts w:ascii="Times New Roman" w:cs="Times New Roman" w:eastAsia="Times New Roman" w:hAnsi="Times New Roman"/>
          <w:sz w:val="18"/>
          <w:szCs w:val="18"/>
          <w:b w:val="1"/>
          <w:bCs w:val="1"/>
          <w:color w:val="auto"/>
        </w:rPr>
        <w:t>BLUE OWL CAPITAL CORPORATION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By: Blue Owl Credit Advisors LLC, its Investment Advisor</w:t>
      </w:r>
    </w:p>
    <w:p>
      <w:pPr>
        <w:spacing w:after="0" w:line="200" w:lineRule="exact"/>
        <w:rPr>
          <w:sz w:val="20"/>
          <w:szCs w:val="20"/>
          <w:color w:val="auto"/>
        </w:rPr>
      </w:pPr>
    </w:p>
    <w:p>
      <w:pPr>
        <w:spacing w:after="0" w:line="377" w:lineRule="exact"/>
        <w:rPr>
          <w:sz w:val="20"/>
          <w:szCs w:val="20"/>
          <w:color w:val="auto"/>
        </w:rPr>
      </w:pPr>
    </w:p>
    <w:p>
      <w:pPr>
        <w:ind w:left="2520"/>
        <w:spacing w:after="0"/>
        <w:tabs>
          <w:tab w:leader="none" w:pos="29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-6985</wp:posOffset>
            </wp:positionV>
            <wp:extent cx="104965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2520"/>
        <w:spacing w:after="0"/>
        <w:tabs>
          <w:tab w:leader="none" w:pos="31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2520"/>
        <w:spacing w:after="0"/>
        <w:tabs>
          <w:tab w:leader="none" w:pos="3080" w:val="left"/>
        </w:tabs>
        <w:rPr>
          <w:sz w:val="20"/>
          <w:szCs w:val="20"/>
          <w:color w:val="auto"/>
        </w:rPr>
      </w:pPr>
      <w:r>
        <w:rPr>
          <w:rFonts w:ascii="Times New Roman" w:cs="Times New Roman" w:eastAsia="Times New Roman" w:hAnsi="Times New Roman"/>
          <w:sz w:val="18"/>
          <w:szCs w:val="18"/>
          <w:color w:val="auto"/>
        </w:rPr>
        <w:t>Title:</w:t>
        <w:tab/>
        <w:t>Investment Advisor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7" w:right="1440" w:bottom="1440" w:gutter="0" w:footer="0" w:header="0"/>
        </w:sectPr>
      </w:pPr>
    </w:p>
    <w:bookmarkStart w:id="183" w:name="page184"/>
    <w:bookmarkEnd w:id="183"/>
    <w:p>
      <w:pPr>
        <w:ind w:left="2240"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EOS LUXEMBOURG SCSP SICAV-RAIF - NOSTRO BLACKSTONE SUB-FUND, </w:t>
      </w:r>
      <w:r>
        <w:rPr>
          <w:rFonts w:ascii="Times New Roman" w:cs="Times New Roman" w:eastAsia="Times New Roman" w:hAnsi="Times New Roman"/>
          <w:sz w:val="18"/>
          <w:szCs w:val="18"/>
          <w:color w:val="auto"/>
        </w:rPr>
        <w:t>as a Lender</w:t>
      </w:r>
    </w:p>
    <w:p>
      <w:pPr>
        <w:spacing w:after="0" w:line="127"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Benjamin Dansart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2179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217930"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Benjamin Dansart</w:t>
      </w:r>
    </w:p>
    <w:p>
      <w:pPr>
        <w:spacing w:after="0" w:line="13"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85"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Gabriel Givert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07886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078865"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Gabriel Givert</w:t>
      </w:r>
    </w:p>
    <w:p>
      <w:pPr>
        <w:spacing w:after="0" w:line="1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36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 xml:space="preserve">EOS LUXEMBOURG SCSP SICAV-RAIF-OPM BLACKSTONE SUB-FUND, </w:t>
      </w:r>
      <w:r>
        <w:rPr>
          <w:rFonts w:ascii="Times New Roman" w:cs="Times New Roman" w:eastAsia="Times New Roman" w:hAnsi="Times New Roman"/>
          <w:sz w:val="18"/>
          <w:szCs w:val="18"/>
          <w:color w:val="auto"/>
        </w:rPr>
        <w:t>as a Lender</w:t>
      </w:r>
    </w:p>
    <w:p>
      <w:pPr>
        <w:spacing w:after="0" w:line="210"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Benjamin Dansart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2179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217930"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Benjamin Dansart</w:t>
      </w:r>
    </w:p>
    <w:p>
      <w:pPr>
        <w:spacing w:after="0" w:line="1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75"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Gabriel Givert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07886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078865"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Gabriel Givert</w:t>
      </w:r>
    </w:p>
    <w:p>
      <w:pPr>
        <w:spacing w:after="0" w:line="1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320"/>
          </w:cols>
          <w:pgMar w:left="1440" w:top="1226" w:right="1139" w:bottom="1440" w:gutter="0" w:footer="0" w:header="0"/>
        </w:sectPr>
      </w:pPr>
    </w:p>
    <w:bookmarkStart w:id="184" w:name="page185"/>
    <w:bookmarkEnd w:id="184"/>
    <w:p>
      <w:pPr>
        <w:ind w:left="2240"/>
        <w:spacing w:after="0"/>
        <w:rPr>
          <w:sz w:val="20"/>
          <w:szCs w:val="20"/>
          <w:color w:val="auto"/>
        </w:rPr>
      </w:pPr>
      <w:r>
        <w:rPr>
          <w:rFonts w:ascii="Times New Roman" w:cs="Times New Roman" w:eastAsia="Times New Roman" w:hAnsi="Times New Roman"/>
          <w:sz w:val="18"/>
          <w:szCs w:val="18"/>
          <w:b w:val="1"/>
          <w:bCs w:val="1"/>
          <w:color w:val="auto"/>
        </w:rPr>
        <w:t>BCSA - A FUND LOWER I (LUX) SCSP</w:t>
      </w:r>
      <w:r>
        <w:rPr>
          <w:rFonts w:ascii="Times New Roman" w:cs="Times New Roman" w:eastAsia="Times New Roman" w:hAnsi="Times New Roman"/>
          <w:sz w:val="18"/>
          <w:szCs w:val="18"/>
          <w:color w:val="auto"/>
        </w:rPr>
        <w:t>,</w:t>
      </w:r>
    </w:p>
    <w:p>
      <w:pPr>
        <w:spacing w:after="0" w:line="1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as a Lender</w:t>
      </w:r>
    </w:p>
    <w:p>
      <w:pPr>
        <w:spacing w:after="0" w:line="163"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Tony Whiteman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12585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125855"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Tony Whiteman</w:t>
      </w:r>
    </w:p>
    <w:p>
      <w:pPr>
        <w:spacing w:after="0" w:line="13"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Category A Manager</w:t>
      </w:r>
    </w:p>
    <w:p>
      <w:pPr>
        <w:spacing w:after="0" w:line="185" w:lineRule="exact"/>
        <w:rPr>
          <w:sz w:val="20"/>
          <w:szCs w:val="20"/>
          <w:color w:val="auto"/>
        </w:rPr>
      </w:pPr>
    </w:p>
    <w:p>
      <w:pPr>
        <w:ind w:left="2240"/>
        <w:spacing w:after="0"/>
        <w:tabs>
          <w:tab w:leader="none" w:pos="2720" w:val="left"/>
        </w:tabs>
        <w:rPr>
          <w:sz w:val="20"/>
          <w:szCs w:val="20"/>
          <w:color w:val="auto"/>
        </w:rPr>
      </w:pPr>
      <w:r>
        <w:rPr>
          <w:rFonts w:ascii="Times New Roman" w:cs="Times New Roman" w:eastAsia="Times New Roman" w:hAnsi="Times New Roman"/>
          <w:sz w:val="18"/>
          <w:szCs w:val="18"/>
          <w:color w:val="auto"/>
        </w:rPr>
        <w:t>By:</w:t>
        <w:tab/>
        <w:t>/s/ Clodagh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2217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221740"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Clodagh Brennan</w:t>
      </w:r>
    </w:p>
    <w:p>
      <w:pPr>
        <w:spacing w:after="0" w:line="1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Category B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85" w:name="page186"/>
    <w:bookmarkEnd w:id="185"/>
    <w:p>
      <w:pPr>
        <w:ind w:left="2240"/>
        <w:spacing w:after="0"/>
        <w:rPr>
          <w:sz w:val="20"/>
          <w:szCs w:val="20"/>
          <w:color w:val="auto"/>
        </w:rPr>
      </w:pPr>
      <w:r>
        <w:rPr>
          <w:rFonts w:ascii="Times New Roman" w:cs="Times New Roman" w:eastAsia="Times New Roman" w:hAnsi="Times New Roman"/>
          <w:sz w:val="18"/>
          <w:szCs w:val="18"/>
          <w:b w:val="1"/>
          <w:bCs w:val="1"/>
          <w:color w:val="auto"/>
        </w:rPr>
        <w:t>BLACKSTONE HOLDINGS FINANCE CO.</w:t>
      </w:r>
    </w:p>
    <w:p>
      <w:pPr>
        <w:spacing w:after="0" w:line="1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as a Lender</w:t>
      </w:r>
    </w:p>
    <w:p>
      <w:pPr>
        <w:spacing w:after="0" w:line="183"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Joe 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97218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972185"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Joe Rocco</w:t>
      </w:r>
    </w:p>
    <w:p>
      <w:pPr>
        <w:spacing w:after="0" w:line="13"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Managing Director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7" w:right="1440" w:bottom="1440" w:gutter="0" w:footer="0" w:header="0"/>
        </w:sectPr>
      </w:pPr>
    </w:p>
    <w:bookmarkStart w:id="186" w:name="page187"/>
    <w:bookmarkEnd w:id="186"/>
    <w:p>
      <w:pPr>
        <w:ind w:left="2240"/>
        <w:spacing w:after="0" w:line="295" w:lineRule="auto"/>
        <w:rPr>
          <w:sz w:val="20"/>
          <w:szCs w:val="20"/>
          <w:color w:val="auto"/>
        </w:rPr>
      </w:pPr>
      <w:r>
        <w:rPr>
          <w:rFonts w:ascii="Times New Roman" w:cs="Times New Roman" w:eastAsia="Times New Roman" w:hAnsi="Times New Roman"/>
          <w:sz w:val="18"/>
          <w:szCs w:val="18"/>
          <w:b w:val="1"/>
          <w:bCs w:val="1"/>
          <w:color w:val="auto"/>
        </w:rPr>
        <w:t>MIZUHO CAPITAL MARKETS LLC</w:t>
      </w:r>
      <w:r>
        <w:rPr>
          <w:rFonts w:ascii="Times New Roman" w:cs="Times New Roman" w:eastAsia="Times New Roman" w:hAnsi="Times New Roman"/>
          <w:sz w:val="18"/>
          <w:szCs w:val="18"/>
          <w:color w:val="auto"/>
        </w:rPr>
        <w:t>, a Delaware limited liability company, as a Lender By: Mizuho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USA LLC, in its capacity as manager</w:t>
      </w:r>
    </w:p>
    <w:p>
      <w:pPr>
        <w:spacing w:after="0" w:line="322"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Michael Kowal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0953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095375" cy="6985"/>
                    </a:xfrm>
                    <a:prstGeom prst="rect">
                      <a:avLst/>
                    </a:prstGeom>
                    <a:noFill/>
                  </pic:spPr>
                </pic:pic>
              </a:graphicData>
            </a:graphic>
          </wp:anchor>
        </w:drawing>
      </w:r>
    </w:p>
    <w:p>
      <w:pPr>
        <w:spacing w:after="0" w:line="13"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Michael Kowal</w:t>
      </w:r>
    </w:p>
    <w:p>
      <w:pPr>
        <w:spacing w:after="0" w:line="2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980"/>
          </w:cols>
          <w:pgMar w:left="1440" w:top="1226" w:right="479" w:bottom="1440" w:gutter="0" w:footer="0" w:header="0"/>
        </w:sectPr>
      </w:pPr>
    </w:p>
    <w:bookmarkStart w:id="187" w:name="page188"/>
    <w:bookmarkEnd w:id="187"/>
    <w:p>
      <w:pPr>
        <w:ind w:left="2240" w:right="1579"/>
        <w:spacing w:after="0" w:line="274" w:lineRule="auto"/>
        <w:rPr>
          <w:sz w:val="20"/>
          <w:szCs w:val="20"/>
          <w:color w:val="auto"/>
        </w:rPr>
      </w:pPr>
      <w:r>
        <w:rPr>
          <w:rFonts w:ascii="Times New Roman" w:cs="Times New Roman" w:eastAsia="Times New Roman" w:hAnsi="Times New Roman"/>
          <w:sz w:val="18"/>
          <w:szCs w:val="18"/>
          <w:b w:val="1"/>
          <w:bCs w:val="1"/>
          <w:color w:val="auto"/>
        </w:rPr>
        <w:t>BXC ARMADILLO CO-INVESTMENT FUND-D LP</w:t>
      </w:r>
      <w:r>
        <w:rPr>
          <w:rFonts w:ascii="Times New Roman" w:cs="Times New Roman" w:eastAsia="Times New Roman" w:hAnsi="Times New Roman"/>
          <w:sz w:val="18"/>
          <w:szCs w:val="18"/>
          <w:color w:val="auto"/>
        </w:rPr>
        <w:t>,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BXC Armadillo Co-Investment Fund-D GP LLC, its general partner</w:t>
      </w:r>
    </w:p>
    <w:p>
      <w:pPr>
        <w:spacing w:after="0" w:line="351"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07569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36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BLACKSTONE COF V AIV-1A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Blackstone Capital Opportunities Associates V LP, its general partner</w:t>
      </w:r>
    </w:p>
    <w:p>
      <w:pPr>
        <w:spacing w:after="0" w:line="393"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07569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36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BXCI BXDR II SUB-UF LLC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6"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-6985</wp:posOffset>
            </wp:positionV>
            <wp:extent cx="10756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2240"/>
        <w:spacing w:after="0"/>
        <w:tabs>
          <w:tab w:leader="none" w:pos="290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3" w:lineRule="exact"/>
        <w:rPr>
          <w:sz w:val="20"/>
          <w:szCs w:val="20"/>
          <w:color w:val="auto"/>
        </w:rPr>
      </w:pPr>
    </w:p>
    <w:p>
      <w:pPr>
        <w:ind w:left="2240"/>
        <w:spacing w:after="0"/>
        <w:tabs>
          <w:tab w:leader="none" w:pos="28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7" w:right="1440" w:bottom="1440" w:gutter="0" w:footer="0" w:header="0"/>
        </w:sectPr>
      </w:pPr>
    </w:p>
    <w:bookmarkStart w:id="188" w:name="page189"/>
    <w:bookmarkEnd w:id="188"/>
    <w:p>
      <w:pPr>
        <w:ind w:left="1840"/>
        <w:spacing w:after="0"/>
        <w:rPr>
          <w:sz w:val="20"/>
          <w:szCs w:val="20"/>
          <w:color w:val="auto"/>
        </w:rPr>
      </w:pPr>
      <w:r>
        <w:rPr>
          <w:rFonts w:ascii="Times New Roman" w:cs="Times New Roman" w:eastAsia="Times New Roman" w:hAnsi="Times New Roman"/>
          <w:sz w:val="18"/>
          <w:szCs w:val="18"/>
          <w:b w:val="1"/>
          <w:bCs w:val="1"/>
          <w:color w:val="auto"/>
        </w:rPr>
        <w:t>BLACKSTONE CREDIT ABC FUND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Blackstone Credit ABC Associates LLC, its</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393"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EMPIRE SUB LLC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6"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EMPIRE SUB-UF LLC</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6"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82" w:lineRule="exact"/>
        <w:rPr>
          <w:sz w:val="20"/>
          <w:szCs w:val="20"/>
          <w:color w:val="auto"/>
        </w:rPr>
      </w:pPr>
    </w:p>
    <w:p>
      <w:pPr>
        <w:ind w:left="1840" w:right="1399"/>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BLACKSTONE CREDIT SERIES FUND-C LP SERIES A-II, </w:t>
      </w:r>
      <w:r>
        <w:rPr>
          <w:rFonts w:ascii="Times New Roman" w:cs="Times New Roman" w:eastAsia="Times New Roman" w:hAnsi="Times New Roman"/>
          <w:sz w:val="18"/>
          <w:szCs w:val="18"/>
          <w:color w:val="auto"/>
        </w:rPr>
        <w:t>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Blackstone Credit Series Fund-C Associates LLC, its general partner</w:t>
      </w:r>
    </w:p>
    <w:p>
      <w:pPr>
        <w:spacing w:after="0" w:line="1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GSO Holdings I, L.L.C., its managing member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right="1419"/>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BLACKSTONE CREDIT SERIES FUND-C LP SERIES B-II, </w:t>
      </w:r>
      <w:r>
        <w:rPr>
          <w:rFonts w:ascii="Times New Roman" w:cs="Times New Roman" w:eastAsia="Times New Roman" w:hAnsi="Times New Roman"/>
          <w:sz w:val="18"/>
          <w:szCs w:val="18"/>
          <w:color w:val="auto"/>
        </w:rPr>
        <w:t>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Blackstone Credit Series Fund-C Associates LLC, its general partner</w:t>
      </w:r>
    </w:p>
    <w:p>
      <w:pPr>
        <w:spacing w:after="0" w:line="18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GSO Holdings I, L.L.C., its managing member</w:t>
      </w:r>
    </w:p>
    <w:p>
      <w:pPr>
        <w:spacing w:after="0" w:line="39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89" w:name="page190"/>
    <w:bookmarkEnd w:id="189"/>
    <w:p>
      <w:pPr>
        <w:ind w:left="1840" w:right="2619"/>
        <w:spacing w:after="0" w:line="262" w:lineRule="auto"/>
        <w:rPr>
          <w:sz w:val="20"/>
          <w:szCs w:val="20"/>
          <w:color w:val="auto"/>
        </w:rPr>
      </w:pPr>
      <w:r>
        <w:rPr>
          <w:rFonts w:ascii="Times New Roman" w:cs="Times New Roman" w:eastAsia="Times New Roman" w:hAnsi="Times New Roman"/>
          <w:sz w:val="18"/>
          <w:szCs w:val="18"/>
          <w:b w:val="1"/>
          <w:bCs w:val="1"/>
          <w:color w:val="auto"/>
        </w:rPr>
        <w:t>EVERLAKE LIFE INSURANCE COMPANY</w:t>
      </w:r>
      <w:r>
        <w:rPr>
          <w:rFonts w:ascii="Times New Roman" w:cs="Times New Roman" w:eastAsia="Times New Roman" w:hAnsi="Times New Roman"/>
          <w:sz w:val="18"/>
          <w:szCs w:val="18"/>
          <w:color w:val="auto"/>
        </w:rPr>
        <w:t>,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Blackstone Alternative Credit Advisors LP, pursuant to powers of attorney now and hereafter</w:t>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granted to it</w:t>
      </w:r>
    </w:p>
    <w:p>
      <w:pPr>
        <w:spacing w:after="0" w:line="39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GN LOAN FUND LP</w:t>
      </w:r>
      <w:r>
        <w:rPr>
          <w:rFonts w:ascii="Times New Roman" w:cs="Times New Roman" w:eastAsia="Times New Roman" w:hAnsi="Times New Roman"/>
          <w:sz w:val="18"/>
          <w:szCs w:val="18"/>
          <w:color w:val="auto"/>
        </w:rPr>
        <w:t>, as a Lender</w:t>
      </w:r>
    </w:p>
    <w:p>
      <w:pPr>
        <w:spacing w:after="0" w:line="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Blackstone Alternative Credit Advisors LP, its</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EMERALD DIRECT LENDING 3 LP</w:t>
      </w:r>
      <w:r>
        <w:rPr>
          <w:rFonts w:ascii="Times New Roman" w:cs="Times New Roman" w:eastAsia="Times New Roman" w:hAnsi="Times New Roman"/>
          <w:sz w:val="18"/>
          <w:szCs w:val="18"/>
          <w:color w:val="auto"/>
        </w:rPr>
        <w:t>, as a Lender</w:t>
      </w:r>
    </w:p>
    <w:p>
      <w:pPr>
        <w:spacing w:after="0" w:line="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Blackstone Private Credit Strategies LLC, its</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investment advisor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8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EMERALD CAMELLIA FUNDING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Emerald Camellia Funding GP LLC, its general partner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Emerald Aggregator Funding LP, its general partner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Emerald Aggregator Funding GP LLC, its general partner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90" w:name="page191"/>
    <w:bookmarkEnd w:id="190"/>
    <w:p>
      <w:pPr>
        <w:ind w:left="1840"/>
        <w:spacing w:after="0"/>
        <w:rPr>
          <w:sz w:val="20"/>
          <w:szCs w:val="20"/>
          <w:color w:val="auto"/>
        </w:rPr>
      </w:pPr>
      <w:r>
        <w:rPr>
          <w:rFonts w:ascii="Times New Roman" w:cs="Times New Roman" w:eastAsia="Times New Roman" w:hAnsi="Times New Roman"/>
          <w:sz w:val="18"/>
          <w:szCs w:val="18"/>
          <w:b w:val="1"/>
          <w:bCs w:val="1"/>
          <w:color w:val="auto"/>
        </w:rPr>
        <w:t>EMERALD MIMOSA FUNDING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Emerald Mimosa Funding GP LLC, its general partner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Emerald Aggregator Funding LP, its manager</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Emerald Aggregator Funding GP LLC, its general partner</w:t>
      </w:r>
    </w:p>
    <w:p>
      <w:pPr>
        <w:spacing w:after="0" w:line="39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right="1379"/>
        <w:spacing w:after="0" w:line="280" w:lineRule="auto"/>
        <w:rPr>
          <w:sz w:val="20"/>
          <w:szCs w:val="20"/>
          <w:color w:val="auto"/>
        </w:rPr>
      </w:pPr>
      <w:r>
        <w:rPr>
          <w:rFonts w:ascii="Times New Roman" w:cs="Times New Roman" w:eastAsia="Times New Roman" w:hAnsi="Times New Roman"/>
          <w:sz w:val="18"/>
          <w:szCs w:val="18"/>
          <w:b w:val="1"/>
          <w:bCs w:val="1"/>
          <w:color w:val="auto"/>
        </w:rPr>
        <w:t>BLACKSTONE CREDIT RATED FUND TRUST SPV LP</w:t>
      </w:r>
      <w:r>
        <w:rPr>
          <w:rFonts w:ascii="Times New Roman" w:cs="Times New Roman" w:eastAsia="Times New Roman" w:hAnsi="Times New Roman"/>
          <w:sz w:val="18"/>
          <w:szCs w:val="18"/>
          <w:color w:val="auto"/>
        </w:rPr>
        <w:t>,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Blackstone Credit Rated Fund Trust SPV Associates LP, as general partner By: GSO Holdings I L.L.C., its general partner</w:t>
      </w:r>
    </w:p>
    <w:p>
      <w:pPr>
        <w:spacing w:after="0" w:line="336"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7569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075690"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Marisa Beeney</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91" w:name="page192"/>
    <w:bookmarkEnd w:id="191"/>
    <w:p>
      <w:pPr>
        <w:ind w:left="1840"/>
        <w:spacing w:after="0"/>
        <w:rPr>
          <w:sz w:val="20"/>
          <w:szCs w:val="20"/>
          <w:color w:val="auto"/>
        </w:rPr>
      </w:pPr>
      <w:r>
        <w:rPr>
          <w:rFonts w:ascii="Times New Roman" w:cs="Times New Roman" w:eastAsia="Times New Roman" w:hAnsi="Times New Roman"/>
          <w:sz w:val="18"/>
          <w:szCs w:val="18"/>
          <w:b w:val="1"/>
          <w:bCs w:val="1"/>
          <w:color w:val="auto"/>
        </w:rPr>
        <w:t>Blue Owl Capital Corporation</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Credit Advisors LLC, its Investment Advisor</w:t>
      </w:r>
    </w:p>
    <w:p>
      <w:pPr>
        <w:spacing w:after="0" w:line="175"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Credit Income Corp.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Credit Advisors LLC, its Investment Advisor</w:t>
      </w:r>
    </w:p>
    <w:p>
      <w:pPr>
        <w:spacing w:after="0" w:line="175"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right="659"/>
        <w:spacing w:after="0" w:line="274" w:lineRule="auto"/>
        <w:rPr>
          <w:sz w:val="20"/>
          <w:szCs w:val="20"/>
          <w:color w:val="auto"/>
        </w:rPr>
      </w:pPr>
      <w:r>
        <w:rPr>
          <w:rFonts w:ascii="Times New Roman" w:cs="Times New Roman" w:eastAsia="Times New Roman" w:hAnsi="Times New Roman"/>
          <w:sz w:val="18"/>
          <w:szCs w:val="18"/>
          <w:b w:val="1"/>
          <w:bCs w:val="1"/>
          <w:color w:val="auto"/>
        </w:rPr>
        <w:t>Blue Owl Diversified Lending 2020 Continuing Submaster Fund I LLC</w:t>
      </w:r>
      <w:r>
        <w:rPr>
          <w:rFonts w:ascii="Times New Roman" w:cs="Times New Roman" w:eastAsia="Times New Roman" w:hAnsi="Times New Roman"/>
          <w:sz w:val="18"/>
          <w:szCs w:val="18"/>
          <w:color w:val="auto"/>
        </w:rPr>
        <w:t>,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Blue Owl Diversified Lending 2020 Master Fund LP, its sole member By: Blue Owl Diversified Lending 2020 GP LLC, its general partner</w:t>
      </w:r>
    </w:p>
    <w:p>
      <w:pPr>
        <w:spacing w:after="0" w:line="133"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right="1039"/>
        <w:spacing w:after="0" w:line="295" w:lineRule="auto"/>
        <w:rPr>
          <w:sz w:val="20"/>
          <w:szCs w:val="20"/>
          <w:color w:val="auto"/>
        </w:rPr>
      </w:pPr>
      <w:r>
        <w:rPr>
          <w:rFonts w:ascii="Times New Roman" w:cs="Times New Roman" w:eastAsia="Times New Roman" w:hAnsi="Times New Roman"/>
          <w:sz w:val="18"/>
          <w:szCs w:val="18"/>
          <w:b w:val="1"/>
          <w:bCs w:val="1"/>
          <w:color w:val="auto"/>
        </w:rPr>
        <w:t>Owl Rock Unlevered Diversified Lending Sub-Master Fund 1, L.P.</w:t>
      </w:r>
      <w:r>
        <w:rPr>
          <w:rFonts w:ascii="Times New Roman" w:cs="Times New Roman" w:eastAsia="Times New Roman" w:hAnsi="Times New Roman"/>
          <w:sz w:val="18"/>
          <w:szCs w:val="18"/>
          <w:color w:val="auto"/>
        </w:rPr>
        <w:t>,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General Partner Blue Owl Diversified Lending 2020 GP LLC</w:t>
      </w:r>
    </w:p>
    <w:p>
      <w:pPr>
        <w:spacing w:after="0" w:line="115"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Parliament Funding IV LLC</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Series 2024-1, a series of Blue Owl Direct Lending Insurance Fund LP, its sole member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Direct Lending Insurance Fund GP LLC, its general partner</w:t>
      </w:r>
    </w:p>
    <w:p>
      <w:pPr>
        <w:spacing w:after="0" w:line="186"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92" w:name="page193"/>
    <w:bookmarkEnd w:id="192"/>
    <w:p>
      <w:pPr>
        <w:ind w:left="1840"/>
        <w:spacing w:after="0"/>
        <w:rPr>
          <w:sz w:val="20"/>
          <w:szCs w:val="20"/>
          <w:color w:val="auto"/>
        </w:rPr>
      </w:pPr>
      <w:r>
        <w:rPr>
          <w:rFonts w:ascii="Times New Roman" w:cs="Times New Roman" w:eastAsia="Times New Roman" w:hAnsi="Times New Roman"/>
          <w:sz w:val="18"/>
          <w:szCs w:val="18"/>
          <w:b w:val="1"/>
          <w:bCs w:val="1"/>
          <w:color w:val="auto"/>
        </w:rPr>
        <w:t>Blue Owl Opportunistic Lending DL (C)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Opportunistic Lending DL (C) GP LLC</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Credit Private Fund Advisors LLC</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1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-19685</wp:posOffset>
            </wp:positionV>
            <wp:extent cx="104965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8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OR Opportunistic DL (C) Funding LLC</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Opportunistic Lending DL (C) LP, its sole member</w:t>
      </w:r>
    </w:p>
    <w:p>
      <w:pPr>
        <w:spacing w:after="0" w:line="1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-19685</wp:posOffset>
            </wp:positionV>
            <wp:extent cx="104965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Diversified Lending (CP) I LLC</w:t>
      </w:r>
      <w:r>
        <w:rPr>
          <w:rFonts w:ascii="Times New Roman" w:cs="Times New Roman" w:eastAsia="Times New Roman" w:hAnsi="Times New Roman"/>
          <w:sz w:val="18"/>
          <w:szCs w:val="18"/>
          <w:color w:val="auto"/>
        </w:rPr>
        <w:t>, as a Lender</w:t>
      </w:r>
    </w:p>
    <w:p>
      <w:pPr>
        <w:spacing w:after="0" w:line="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Diversified Lending (CP) LP</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1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-19685</wp:posOffset>
            </wp:positionV>
            <wp:extent cx="104965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8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Diversified Lending (CP) II LLC</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Diversified Lending (CP) LP</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3"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Technology Finance Corp.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Technology Credit Advisors LLC, its</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Investment Advisor</w:t>
      </w:r>
    </w:p>
    <w:p>
      <w:pPr>
        <w:spacing w:after="0" w:line="198"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3"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93" w:name="page194"/>
    <w:bookmarkEnd w:id="193"/>
    <w:p>
      <w:pPr>
        <w:ind w:left="1840"/>
        <w:spacing w:after="0"/>
        <w:rPr>
          <w:sz w:val="20"/>
          <w:szCs w:val="20"/>
          <w:color w:val="auto"/>
        </w:rPr>
      </w:pPr>
      <w:r>
        <w:rPr>
          <w:rFonts w:ascii="Times New Roman" w:cs="Times New Roman" w:eastAsia="Times New Roman" w:hAnsi="Times New Roman"/>
          <w:sz w:val="18"/>
          <w:szCs w:val="18"/>
          <w:b w:val="1"/>
          <w:bCs w:val="1"/>
          <w:color w:val="auto"/>
        </w:rPr>
        <w:t>Blue Owl Funding Partners II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Funding Partners II GP LLC, its general partner</w:t>
      </w:r>
    </w:p>
    <w:p>
      <w:pPr>
        <w:spacing w:after="0" w:line="1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-19685</wp:posOffset>
            </wp:positionV>
            <wp:extent cx="104965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right="1659"/>
        <w:spacing w:after="0" w:line="274" w:lineRule="auto"/>
        <w:rPr>
          <w:sz w:val="20"/>
          <w:szCs w:val="20"/>
          <w:color w:val="auto"/>
        </w:rPr>
      </w:pPr>
      <w:r>
        <w:rPr>
          <w:rFonts w:ascii="Times New Roman" w:cs="Times New Roman" w:eastAsia="Times New Roman" w:hAnsi="Times New Roman"/>
          <w:sz w:val="18"/>
          <w:szCs w:val="18"/>
          <w:b w:val="1"/>
          <w:bCs w:val="1"/>
          <w:color w:val="auto"/>
        </w:rPr>
        <w:t>Blue Owl First Lien II Continuing Submaster Fund I LLC</w:t>
      </w:r>
      <w:r>
        <w:rPr>
          <w:rFonts w:ascii="Times New Roman" w:cs="Times New Roman" w:eastAsia="Times New Roman" w:hAnsi="Times New Roman"/>
          <w:sz w:val="18"/>
          <w:szCs w:val="18"/>
          <w:color w:val="auto"/>
        </w:rPr>
        <w:t>,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Blue Owl First Lien Master Fund II LP, its sole member By: Blue Owl First Lien II GP LLC, its general partner</w:t>
      </w:r>
    </w:p>
    <w:p>
      <w:pPr>
        <w:spacing w:after="0" w:line="35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 xml:space="preserve">Blue Owl First Lien Fund II 1X Master LP, </w:t>
      </w:r>
      <w:r>
        <w:rPr>
          <w:rFonts w:ascii="Times New Roman" w:cs="Times New Roman" w:eastAsia="Times New Roman" w:hAnsi="Times New Roman"/>
          <w:sz w:val="18"/>
          <w:szCs w:val="18"/>
          <w:color w:val="auto"/>
        </w:rPr>
        <w:t>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First Lien II 1X GP LLC, its General Partner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3"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7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Beaufort Credit Fund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Beaufort Credit GP LLC, its General Partner</w:t>
      </w:r>
    </w:p>
    <w:p>
      <w:pPr>
        <w:spacing w:after="0" w:line="1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-19685</wp:posOffset>
            </wp:positionV>
            <wp:extent cx="104965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2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Blue Owl First Lien Fund (C) I LLC, as a Lender</w:t>
      </w:r>
    </w:p>
    <w:p>
      <w:pPr>
        <w:spacing w:after="0" w:line="3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First Lien Fund (C) LP, its sole member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First Lien Fund (C) GP LLC, its general partner</w:t>
      </w:r>
    </w:p>
    <w:p>
      <w:pPr>
        <w:spacing w:after="0" w:line="13"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-13335</wp:posOffset>
            </wp:positionV>
            <wp:extent cx="104965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019"/>
          </w:cols>
          <w:pgMar w:left="1440" w:top="1226" w:right="1440" w:bottom="1440" w:gutter="0" w:footer="0" w:header="0"/>
        </w:sectPr>
      </w:pPr>
    </w:p>
    <w:bookmarkStart w:id="194" w:name="page195"/>
    <w:bookmarkEnd w:id="194"/>
    <w:p>
      <w:pPr>
        <w:ind w:left="1840"/>
        <w:spacing w:after="0"/>
        <w:rPr>
          <w:sz w:val="20"/>
          <w:szCs w:val="20"/>
          <w:color w:val="auto"/>
        </w:rPr>
      </w:pPr>
      <w:r>
        <w:rPr>
          <w:rFonts w:ascii="Times New Roman" w:cs="Times New Roman" w:eastAsia="Times New Roman" w:hAnsi="Times New Roman"/>
          <w:sz w:val="18"/>
          <w:szCs w:val="18"/>
          <w:b w:val="1"/>
          <w:bCs w:val="1"/>
          <w:color w:val="auto"/>
        </w:rPr>
        <w:t>Blue Owl First Lien Fund (C) II LLC</w:t>
      </w:r>
      <w:r>
        <w:rPr>
          <w:rFonts w:ascii="Times New Roman" w:cs="Times New Roman" w:eastAsia="Times New Roman" w:hAnsi="Times New Roman"/>
          <w:sz w:val="18"/>
          <w:szCs w:val="18"/>
          <w:color w:val="auto"/>
        </w:rPr>
        <w:t>, as a Lender</w:t>
      </w:r>
    </w:p>
    <w:p>
      <w:pPr>
        <w:spacing w:after="0" w:line="199" w:lineRule="exact"/>
        <w:rPr>
          <w:sz w:val="20"/>
          <w:szCs w:val="20"/>
          <w:color w:val="auto"/>
        </w:rPr>
      </w:pPr>
    </w:p>
    <w:p>
      <w:pPr>
        <w:ind w:left="1840"/>
        <w:spacing w:after="0" w:line="290" w:lineRule="auto"/>
        <w:rPr>
          <w:sz w:val="20"/>
          <w:szCs w:val="20"/>
          <w:color w:val="auto"/>
        </w:rPr>
      </w:pPr>
      <w:r>
        <w:rPr>
          <w:rFonts w:ascii="Times New Roman" w:cs="Times New Roman" w:eastAsia="Times New Roman" w:hAnsi="Times New Roman"/>
          <w:sz w:val="18"/>
          <w:szCs w:val="18"/>
          <w:color w:val="auto"/>
        </w:rPr>
        <w:t>By: Blue Owl First Lien Fund (C) LP, its sole member By: Blue Owl First Lien Fund (C) GP LLC, its general partner</w:t>
      </w:r>
    </w:p>
    <w:p>
      <w:pPr>
        <w:spacing w:after="0" w:line="131"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First Lien Fund (O)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First Lien Fund (O) GP LLC, its</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139"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Mangum III LLC – Series A,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By: Blue Owl Credit Private Funds Advisors LLC, its</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Collateral Manager</w:t>
      </w:r>
    </w:p>
    <w:p>
      <w:pPr>
        <w:spacing w:after="0" w:line="139"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7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US Direct Lending SMA 2019 LP</w:t>
      </w:r>
      <w:r>
        <w:rPr>
          <w:rFonts w:ascii="Times New Roman" w:cs="Times New Roman" w:eastAsia="Times New Roman" w:hAnsi="Times New Roman"/>
          <w:sz w:val="18"/>
          <w:szCs w:val="18"/>
          <w:color w:val="auto"/>
        </w:rPr>
        <w:t>, as a Lender</w:t>
      </w:r>
    </w:p>
    <w:p>
      <w:pPr>
        <w:spacing w:after="0" w:line="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US Direct Lending SMA GP Ltd, its General Partner</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Credit Private Fund Advisors LLC, as Attorney-in-Fact for the General Partner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8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Blue Owl Lending Fund (M) LP</w:t>
      </w:r>
      <w:r>
        <w:rPr>
          <w:rFonts w:ascii="Times New Roman" w:cs="Times New Roman" w:eastAsia="Times New Roman" w:hAnsi="Times New Roman"/>
          <w:sz w:val="18"/>
          <w:szCs w:val="18"/>
          <w:color w:val="auto"/>
        </w:rPr>
        <w:t>, as a Lender</w:t>
      </w:r>
    </w:p>
    <w:p>
      <w:pPr>
        <w:spacing w:after="0" w:line="3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By: Blue Owl Lending Fund (M) GP LLC, its General Partner</w:t>
      </w:r>
    </w:p>
    <w:p>
      <w:pPr>
        <w:spacing w:after="0" w:line="382" w:lineRule="exact"/>
        <w:rPr>
          <w:sz w:val="20"/>
          <w:szCs w:val="20"/>
          <w:color w:val="auto"/>
        </w:rPr>
      </w:pPr>
    </w:p>
    <w:p>
      <w:pPr>
        <w:ind w:left="1840"/>
        <w:spacing w:after="0"/>
        <w:tabs>
          <w:tab w:leader="none" w:pos="2260" w:val="left"/>
        </w:tabs>
        <w:rPr>
          <w:sz w:val="20"/>
          <w:szCs w:val="20"/>
          <w:color w:val="auto"/>
        </w:rPr>
      </w:pPr>
      <w:r>
        <w:rPr>
          <w:rFonts w:ascii="Times New Roman" w:cs="Times New Roman" w:eastAsia="Times New Roman" w:hAnsi="Times New Roman"/>
          <w:sz w:val="18"/>
          <w:szCs w:val="18"/>
          <w:color w:val="auto"/>
        </w:rPr>
        <w:t>By:</w:t>
        <w:tab/>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-6985</wp:posOffset>
            </wp:positionV>
            <wp:extent cx="104965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049655" cy="6985"/>
                    </a:xfrm>
                    <a:prstGeom prst="rect">
                      <a:avLst/>
                    </a:prstGeom>
                    <a:noFill/>
                  </pic:spPr>
                </pic:pic>
              </a:graphicData>
            </a:graphic>
          </wp:anchor>
        </w:drawing>
      </w:r>
    </w:p>
    <w:p>
      <w:pPr>
        <w:spacing w:after="0" w:line="11"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Name:</w:t>
        <w:tab/>
        <w:t>Meenal Mehta</w:t>
      </w:r>
    </w:p>
    <w:p>
      <w:pPr>
        <w:spacing w:after="0" w:line="1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[Signature Page to Financing Agreement]</w:t>
      </w:r>
    </w:p>
    <w:p>
      <w:pPr>
        <w:sectPr>
          <w:pgSz w:w="11900" w:h="16838" w:orient="portrait"/>
          <w:cols w:equalWidth="0" w:num="1">
            <w:col w:w="9900"/>
          </w:cols>
          <w:pgMar w:left="1440" w:top="1226" w:right="55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7"/>
          <w:szCs w:val="17"/>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7"/>
          <w:szCs w:val="17"/>
          <w:b w:val="1"/>
          <w:bCs w:val="1"/>
          <w:color w:val="auto"/>
        </w:rPr>
        <w:t>CARIS LIFE SCIENCES, INC.</w:t>
      </w:r>
    </w:p>
    <w:p>
      <w:pPr>
        <w:spacing w:after="0" w:line="27" w:lineRule="exact"/>
        <w:rPr>
          <w:sz w:val="20"/>
          <w:szCs w:val="20"/>
          <w:color w:val="auto"/>
        </w:rPr>
      </w:pPr>
    </w:p>
    <w:p>
      <w:pPr>
        <w:ind w:left="4528"/>
        <w:spacing w:after="0"/>
        <w:rPr>
          <w:sz w:val="20"/>
          <w:szCs w:val="20"/>
          <w:color w:val="auto"/>
        </w:rPr>
      </w:pPr>
      <w:r>
        <w:rPr>
          <w:rFonts w:ascii="Times New Roman" w:cs="Times New Roman" w:eastAsia="Times New Roman" w:hAnsi="Times New Roman"/>
          <w:sz w:val="17"/>
          <w:szCs w:val="17"/>
          <w:b w:val="1"/>
          <w:bCs w:val="1"/>
          <w:color w:val="auto"/>
        </w:rPr>
        <w:t>ANNUAL INCENTIVE PLAN</w:t>
      </w:r>
    </w:p>
    <w:p>
      <w:pPr>
        <w:spacing w:after="0" w:line="161"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1.</w:t>
      </w:r>
      <w:r>
        <w:rPr>
          <w:sz w:val="20"/>
          <w:szCs w:val="20"/>
          <w:color w:val="auto"/>
        </w:rPr>
        <w:tab/>
      </w:r>
      <w:r>
        <w:rPr>
          <w:rFonts w:ascii="Times New Roman" w:cs="Times New Roman" w:eastAsia="Times New Roman" w:hAnsi="Times New Roman"/>
          <w:sz w:val="16"/>
          <w:szCs w:val="16"/>
          <w:color w:val="auto"/>
        </w:rPr>
        <w:t>PURPOSE</w:t>
      </w:r>
    </w:p>
    <w:p>
      <w:pPr>
        <w:spacing w:after="0" w:line="195" w:lineRule="exact"/>
        <w:rPr>
          <w:sz w:val="20"/>
          <w:szCs w:val="20"/>
          <w:color w:val="auto"/>
        </w:rPr>
      </w:pPr>
    </w:p>
    <w:p>
      <w:pPr>
        <w:ind w:left="8" w:hanging="8"/>
        <w:spacing w:after="0" w:line="253" w:lineRule="auto"/>
        <w:tabs>
          <w:tab w:leader="none" w:pos="55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purpose of the Caris Life Sciences, Inc. Annual Incentive Plan (this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is to attract, retain and motivate selected employees of Caris Life Sciences,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its subsidiaries and affiliates (together, the “</w:t>
      </w:r>
      <w:r>
        <w:rPr>
          <w:rFonts w:ascii="Times New Roman" w:cs="Times New Roman" w:eastAsia="Times New Roman" w:hAnsi="Times New Roman"/>
          <w:sz w:val="17"/>
          <w:szCs w:val="17"/>
          <w:u w:val="single" w:color="auto"/>
          <w:color w:val="auto"/>
        </w:rPr>
        <w:t>Company Group</w:t>
      </w:r>
      <w:r>
        <w:rPr>
          <w:rFonts w:ascii="Times New Roman" w:cs="Times New Roman" w:eastAsia="Times New Roman" w:hAnsi="Times New Roman"/>
          <w:sz w:val="17"/>
          <w:szCs w:val="17"/>
          <w:color w:val="auto"/>
        </w:rPr>
        <w:t>”) in order to promote the Company’s long-term growth and profitability.</w:t>
      </w:r>
    </w:p>
    <w:p>
      <w:pPr>
        <w:spacing w:after="0" w:line="150"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2.</w:t>
      </w:r>
      <w:r>
        <w:rPr>
          <w:sz w:val="20"/>
          <w:szCs w:val="20"/>
          <w:color w:val="auto"/>
        </w:rPr>
        <w:tab/>
      </w:r>
      <w:r>
        <w:rPr>
          <w:rFonts w:ascii="Times New Roman" w:cs="Times New Roman" w:eastAsia="Times New Roman" w:hAnsi="Times New Roman"/>
          <w:sz w:val="16"/>
          <w:szCs w:val="16"/>
          <w:color w:val="auto"/>
        </w:rPr>
        <w:t>ADMINISTRATION</w:t>
      </w:r>
    </w:p>
    <w:p>
      <w:pPr>
        <w:spacing w:after="0" w:line="160" w:lineRule="exact"/>
        <w:rPr>
          <w:sz w:val="20"/>
          <w:szCs w:val="20"/>
          <w:color w:val="auto"/>
        </w:rPr>
      </w:pPr>
    </w:p>
    <w:p>
      <w:pPr>
        <w:jc w:val="both"/>
        <w:ind w:left="8" w:firstLine="543"/>
        <w:spacing w:after="0" w:line="213" w:lineRule="auto"/>
        <w:tabs>
          <w:tab w:leader="none" w:pos="1102"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shall be administered by the Compensation Committee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of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unless otherwise determined by the Board. Notwithstanding anything to the contrary contained herein, the Committee may allocate among its members and may delegate some or all of its authority or administrative responsibility to such individual or individuals who are not members of the Committee as it shall deem necessary or appropriate; provided, however, that in the case of employees who are “officers” of the Company as defined under Rule 16a-1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(that is “executive officers” as defined under Rule 3b-7 under the Exchange Act, plus the “principal accounting officer” if such individual is not an “executive officer”), the Committee may not delegate any of its authority or administrative responsibility hereunder to any individual or individuals who are not members of the Committee. Further, notwithstanding anything to the contrary contained herein, from time to time, the Board may assume, at its sole discretion, full or partial responsibility for administration of this Plan. Any reference to the Committee in this Plan shall include the Committee’s authorized delegates and the Board, as applicable.</w:t>
      </w:r>
    </w:p>
    <w:p>
      <w:pPr>
        <w:spacing w:after="0" w:line="121" w:lineRule="exact"/>
        <w:rPr>
          <w:rFonts w:ascii="Times New Roman" w:cs="Times New Roman" w:eastAsia="Times New Roman" w:hAnsi="Times New Roman"/>
          <w:sz w:val="17"/>
          <w:szCs w:val="17"/>
          <w:color w:val="auto"/>
        </w:rPr>
      </w:pPr>
    </w:p>
    <w:p>
      <w:pPr>
        <w:ind w:left="1088" w:hanging="537"/>
        <w:spacing w:after="0"/>
        <w:tabs>
          <w:tab w:leader="none" w:pos="1088"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complete control over the administration of this Plan, and shall have the authority in its sole and absolute discretion to:</w:t>
      </w:r>
    </w:p>
    <w:p>
      <w:pPr>
        <w:ind w:left="208" w:hanging="208"/>
        <w:spacing w:after="0" w:line="211" w:lineRule="auto"/>
        <w:tabs>
          <w:tab w:leader="none" w:pos="20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of the powers granted to it under this Plan; (ii) construe, interpret and implement this Plan; (iii) prescribe, amend and rescind rules and regulations</w:t>
      </w:r>
    </w:p>
    <w:p>
      <w:pPr>
        <w:ind w:left="8"/>
        <w:spacing w:after="0" w:line="211" w:lineRule="auto"/>
        <w:rPr>
          <w:sz w:val="20"/>
          <w:szCs w:val="20"/>
          <w:color w:val="auto"/>
        </w:rPr>
      </w:pPr>
      <w:r>
        <w:rPr>
          <w:rFonts w:ascii="Times New Roman" w:cs="Times New Roman" w:eastAsia="Times New Roman" w:hAnsi="Times New Roman"/>
          <w:sz w:val="17"/>
          <w:szCs w:val="17"/>
          <w:color w:val="auto"/>
        </w:rPr>
        <w:t>relating to this Plan, including rules and regulations governing its own operations; (iv) make all determinations necessary or advisable in administering this Plan</w:t>
      </w:r>
    </w:p>
    <w:p>
      <w:pPr>
        <w:spacing w:after="0" w:line="1" w:lineRule="exact"/>
        <w:rPr>
          <w:sz w:val="20"/>
          <w:szCs w:val="20"/>
          <w:color w:val="auto"/>
        </w:rPr>
      </w:pPr>
    </w:p>
    <w:p>
      <w:pPr>
        <w:ind w:left="8" w:right="20"/>
        <w:spacing w:after="0" w:line="221" w:lineRule="auto"/>
        <w:rPr>
          <w:sz w:val="20"/>
          <w:szCs w:val="20"/>
          <w:color w:val="auto"/>
        </w:rPr>
      </w:pPr>
      <w:r>
        <w:rPr>
          <w:rFonts w:ascii="Times New Roman" w:cs="Times New Roman" w:eastAsia="Times New Roman" w:hAnsi="Times New Roman"/>
          <w:sz w:val="17"/>
          <w:szCs w:val="17"/>
          <w:color w:val="auto"/>
        </w:rPr>
        <w:t>(including, without limitation, calculating the size of the Bonus payable to each Participant (as defined in Section 4)); and (v) correct any defect, supply any omission and reconcile any inconsistency in this Plan.</w:t>
      </w:r>
    </w:p>
    <w:p>
      <w:pPr>
        <w:spacing w:after="0" w:line="139" w:lineRule="exact"/>
        <w:rPr>
          <w:sz w:val="20"/>
          <w:szCs w:val="20"/>
          <w:color w:val="auto"/>
        </w:rPr>
      </w:pPr>
    </w:p>
    <w:p>
      <w:pPr>
        <w:jc w:val="both"/>
        <w:ind w:left="8" w:firstLine="543"/>
        <w:spacing w:after="0" w:line="225" w:lineRule="auto"/>
        <w:tabs>
          <w:tab w:leader="none" w:pos="1102"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of the Committee on all matters relating to this Plan and any amounts payable hereunder shall be final, binding and conclusive on all parties. The Committee’s determinations under this Plan need not be uniform and may be made by it selectively among persons who receive or are eligible to receive awards under this Plan, whether or not any awards are the same or such persons are similarly situated.</w:t>
      </w:r>
    </w:p>
    <w:p>
      <w:pPr>
        <w:spacing w:after="0" w:line="139" w:lineRule="exact"/>
        <w:rPr>
          <w:rFonts w:ascii="Times New Roman" w:cs="Times New Roman" w:eastAsia="Times New Roman" w:hAnsi="Times New Roman"/>
          <w:sz w:val="17"/>
          <w:szCs w:val="17"/>
          <w:color w:val="auto"/>
        </w:rPr>
      </w:pPr>
    </w:p>
    <w:p>
      <w:pPr>
        <w:jc w:val="both"/>
        <w:ind w:left="8" w:firstLine="543"/>
        <w:spacing w:after="0" w:line="213" w:lineRule="auto"/>
        <w:tabs>
          <w:tab w:leader="none" w:pos="110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this Plan or any Bonus paid under this Plan, and against all amounts paid by the Committee in settlement thereof (provided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provided, however, that within 60 days after institution of any such action, suit or proceeding, such Committee shall, in writing, offer the Company the opportunity at its own expense to handle and defend such action, suit or proceeding.</w:t>
      </w:r>
    </w:p>
    <w:p>
      <w:pPr>
        <w:sectPr>
          <w:pgSz w:w="11900" w:h="16838" w:orient="portrait"/>
          <w:cols w:equalWidth="0" w:num="1">
            <w:col w:w="11268"/>
          </w:cols>
          <w:pgMar w:left="312" w:top="110" w:right="319" w:bottom="1440" w:gutter="0" w:footer="0" w:header="0"/>
        </w:sectPr>
      </w:pPr>
    </w:p>
    <w:bookmarkStart w:id="196" w:name="page197"/>
    <w:bookmarkEnd w:id="196"/>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3.</w:t>
      </w:r>
      <w:r>
        <w:rPr>
          <w:sz w:val="20"/>
          <w:szCs w:val="20"/>
          <w:color w:val="auto"/>
        </w:rPr>
        <w:tab/>
      </w:r>
      <w:r>
        <w:rPr>
          <w:rFonts w:ascii="Times New Roman" w:cs="Times New Roman" w:eastAsia="Times New Roman" w:hAnsi="Times New Roman"/>
          <w:sz w:val="16"/>
          <w:szCs w:val="16"/>
          <w:color w:val="auto"/>
        </w:rPr>
        <w:t>PERFORMANCE PERIOD</w:t>
      </w:r>
    </w:p>
    <w:p>
      <w:pPr>
        <w:spacing w:after="0" w:line="195" w:lineRule="exact"/>
        <w:rPr>
          <w:sz w:val="20"/>
          <w:szCs w:val="20"/>
          <w:color w:val="auto"/>
        </w:rPr>
      </w:pPr>
    </w:p>
    <w:p>
      <w:pPr>
        <w:jc w:val="both"/>
        <w:ind w:left="8" w:hanging="8"/>
        <w:spacing w:after="0" w:line="253" w:lineRule="auto"/>
        <w:tabs>
          <w:tab w:leader="none" w:pos="55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This Plan shall operate for successive periods (each a “</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The first Performance Period commenced on January 1, 2026 and terminated on December 31, 2026. Thereafter, each Performance Period shall be one or more full fiscal year and/or portions of fiscal years of the Company, as determined by the Committee.</w:t>
      </w:r>
    </w:p>
    <w:p>
      <w:pPr>
        <w:spacing w:after="0" w:line="139"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4.</w:t>
      </w:r>
      <w:r>
        <w:rPr>
          <w:sz w:val="20"/>
          <w:szCs w:val="20"/>
          <w:color w:val="auto"/>
        </w:rPr>
        <w:tab/>
      </w:r>
      <w:r>
        <w:rPr>
          <w:rFonts w:ascii="Times New Roman" w:cs="Times New Roman" w:eastAsia="Times New Roman" w:hAnsi="Times New Roman"/>
          <w:sz w:val="16"/>
          <w:szCs w:val="16"/>
          <w:color w:val="auto"/>
        </w:rPr>
        <w:t>PARTICIPATION</w:t>
      </w:r>
    </w:p>
    <w:p>
      <w:pPr>
        <w:spacing w:after="0" w:line="195" w:lineRule="exact"/>
        <w:rPr>
          <w:sz w:val="20"/>
          <w:szCs w:val="20"/>
          <w:color w:val="auto"/>
        </w:rPr>
      </w:pPr>
    </w:p>
    <w:p>
      <w:pPr>
        <w:jc w:val="both"/>
        <w:ind w:left="8" w:hanging="8"/>
        <w:spacing w:after="0" w:line="250" w:lineRule="auto"/>
        <w:tabs>
          <w:tab w:leader="none" w:pos="55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be eligible to earn and receive a bonus under this Plan, individuals must be (i) employed by the Company Group during some or all of the Performance Period, (ii) designated for participation by the Committee or individuals acting under proper delegation by the Committee, and (iii) unless otherwise agreed by the Committee or individuals acting under proper delegation by the Committee, (and subject to any pro-ration for partial years of employment), employed by the Company Group on the Payment Date as defined below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Except as provided below, the Committee, or individuals acting under proper delegation by the Committee, shall have the authority at any time during the Performance Period to remove Participants from or add Participants to this Plan for a Performance.</w:t>
      </w:r>
    </w:p>
    <w:p>
      <w:pPr>
        <w:spacing w:after="0" w:line="156"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5.</w:t>
      </w:r>
      <w:r>
        <w:rPr>
          <w:sz w:val="20"/>
          <w:szCs w:val="20"/>
          <w:color w:val="auto"/>
        </w:rPr>
        <w:tab/>
      </w:r>
      <w:r>
        <w:rPr>
          <w:rFonts w:ascii="Times New Roman" w:cs="Times New Roman" w:eastAsia="Times New Roman" w:hAnsi="Times New Roman"/>
          <w:sz w:val="17"/>
          <w:szCs w:val="17"/>
          <w:color w:val="auto"/>
        </w:rPr>
        <w:t>BONUS AMOUNTS</w:t>
      </w:r>
    </w:p>
    <w:p>
      <w:pPr>
        <w:spacing w:after="0" w:line="183" w:lineRule="exact"/>
        <w:rPr>
          <w:sz w:val="20"/>
          <w:szCs w:val="20"/>
          <w:color w:val="auto"/>
        </w:rPr>
      </w:pPr>
    </w:p>
    <w:p>
      <w:pPr>
        <w:jc w:val="both"/>
        <w:ind w:left="8" w:hanging="8"/>
        <w:spacing w:after="0" w:line="250" w:lineRule="auto"/>
        <w:tabs>
          <w:tab w:leader="none" w:pos="55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Each Participant shall be eligible for a bonus based upon the achievement of one or more </w:t>
      </w:r>
      <w:r>
        <w:rPr>
          <w:rFonts w:ascii="Times New Roman" w:cs="Times New Roman" w:eastAsia="Times New Roman" w:hAnsi="Times New Roman"/>
          <w:sz w:val="17"/>
          <w:szCs w:val="17"/>
          <w:color w:val="231F20"/>
        </w:rPr>
        <w:t>performance measures selected by the Committee (a “</w:t>
      </w:r>
      <w:r>
        <w:rPr>
          <w:rFonts w:ascii="Times New Roman" w:cs="Times New Roman" w:eastAsia="Times New Roman" w:hAnsi="Times New Roman"/>
          <w:sz w:val="17"/>
          <w:szCs w:val="17"/>
          <w:u w:val="single" w:color="auto"/>
          <w:color w:val="231F20"/>
        </w:rPr>
        <w:t>Bonus</w:t>
      </w:r>
      <w:r>
        <w:rPr>
          <w:rFonts w:ascii="Times New Roman" w:cs="Times New Roman" w:eastAsia="Times New Roman" w:hAnsi="Times New Roman"/>
          <w:sz w:val="17"/>
          <w:szCs w:val="17"/>
          <w:color w:val="231F20"/>
        </w:rPr>
        <w:t>”).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performance measures may be described in terms of objectives that are related to the individual Participant or objectives that are Company-wide or related to a subsidiary, division, department, region, function or business unit and may be measured in any manner determined by the Committee, including on an absolute or cumulative basis or on the basis of percentage of improvement over time, and may be measured in terms of Company performance (or performance of the applicable subsidiary, division, department, region, function or business unit) or measured in terms of performance relative to </w:t>
      </w:r>
      <w:r>
        <w:rPr>
          <w:rFonts w:ascii="Times New Roman" w:cs="Times New Roman" w:eastAsia="Times New Roman" w:hAnsi="Times New Roman"/>
          <w:sz w:val="17"/>
          <w:szCs w:val="17"/>
          <w:color w:val="000000"/>
        </w:rPr>
        <w:t>selected</w:t>
      </w:r>
      <w:r>
        <w:rPr>
          <w:rFonts w:ascii="Times New Roman" w:cs="Times New Roman" w:eastAsia="Times New Roman" w:hAnsi="Times New Roman"/>
          <w:sz w:val="17"/>
          <w:szCs w:val="17"/>
          <w:color w:val="231F20"/>
        </w:rPr>
        <w:t xml:space="preserve"> peer companies or a market index. In addition, </w:t>
      </w:r>
      <w:r>
        <w:rPr>
          <w:rFonts w:ascii="Times New Roman" w:cs="Times New Roman" w:eastAsia="Times New Roman" w:hAnsi="Times New Roman"/>
          <w:sz w:val="17"/>
          <w:szCs w:val="17"/>
          <w:color w:val="000000"/>
        </w:rPr>
        <w:t>performance goals that may be used by the Committee may include, without limitation, one or more of the following: operating profits (including EBITDA),</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net profits, earnings per share, profit returns and margins, revenues, cost/expense management, shareholder return and/or value, stock price, return on invested capital, cash flow, customer attrition, productivity, product milestones or launches, employee metrics, individual performance, customer metrics, and quality metrics. Performance goals may be adjusted after their establishment in such manner as the Committee considers necessary or appropriate.</w:t>
      </w:r>
    </w:p>
    <w:p>
      <w:pPr>
        <w:spacing w:after="0" w:line="153"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6.</w:t>
      </w:r>
      <w:r>
        <w:rPr>
          <w:sz w:val="20"/>
          <w:szCs w:val="20"/>
          <w:color w:val="auto"/>
        </w:rPr>
        <w:tab/>
      </w:r>
      <w:r>
        <w:rPr>
          <w:rFonts w:ascii="Times New Roman" w:cs="Times New Roman" w:eastAsia="Times New Roman" w:hAnsi="Times New Roman"/>
          <w:sz w:val="16"/>
          <w:szCs w:val="16"/>
          <w:color w:val="auto"/>
        </w:rPr>
        <w:t>PAYMENT OF BONUS AMOUNT</w:t>
      </w:r>
    </w:p>
    <w:p>
      <w:pPr>
        <w:spacing w:after="0" w:line="149" w:lineRule="exact"/>
        <w:rPr>
          <w:sz w:val="20"/>
          <w:szCs w:val="20"/>
          <w:color w:val="auto"/>
        </w:rPr>
      </w:pPr>
    </w:p>
    <w:p>
      <w:pPr>
        <w:jc w:val="both"/>
        <w:ind w:left="8" w:firstLine="543"/>
        <w:spacing w:after="0" w:line="219" w:lineRule="auto"/>
        <w:tabs>
          <w:tab w:leader="none" w:pos="1102"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Participant’s Bonus shall be payable in the discretion of the Committee in cash and/or an equity-based award of equivalent value (as determined by the Committee and subject to an equity award plan of the Company). Payment of Bonuses earned under this Plan will be as determined by the Committee in its sole discretion and is generally expected to occur in the first quarter immediately following the conclusion of the Performance Period(such date, the “</w:t>
      </w:r>
      <w:r>
        <w:rPr>
          <w:rFonts w:ascii="Times New Roman" w:cs="Times New Roman" w:eastAsia="Times New Roman" w:hAnsi="Times New Roman"/>
          <w:sz w:val="17"/>
          <w:szCs w:val="17"/>
          <w:u w:val="single" w:color="auto"/>
          <w:color w:val="auto"/>
        </w:rPr>
        <w:t>Payment Date</w:t>
      </w:r>
      <w:r>
        <w:rPr>
          <w:rFonts w:ascii="Times New Roman" w:cs="Times New Roman" w:eastAsia="Times New Roman" w:hAnsi="Times New Roman"/>
          <w:sz w:val="17"/>
          <w:szCs w:val="17"/>
          <w:color w:val="auto"/>
        </w:rPr>
        <w:t>”). Any equity-based award shall be subject to such terms and conditions (including vesting requirements) as the Committee and any other administrator of the plan under which such equity-based award is granted may determine.</w:t>
      </w:r>
    </w:p>
    <w:p>
      <w:pPr>
        <w:spacing w:after="0" w:line="142" w:lineRule="exact"/>
        <w:rPr>
          <w:sz w:val="20"/>
          <w:szCs w:val="20"/>
          <w:color w:val="auto"/>
        </w:rPr>
      </w:pPr>
    </w:p>
    <w:p>
      <w:pPr>
        <w:ind w:left="8"/>
        <w:spacing w:after="0"/>
        <w:tabs>
          <w:tab w:leader="none" w:pos="1068" w:val="left"/>
        </w:tabs>
        <w:rPr>
          <w:sz w:val="20"/>
          <w:szCs w:val="20"/>
          <w:color w:val="auto"/>
        </w:rPr>
      </w:pPr>
      <w:r>
        <w:rPr>
          <w:rFonts w:ascii="Times New Roman" w:cs="Times New Roman" w:eastAsia="Times New Roman" w:hAnsi="Times New Roman"/>
          <w:sz w:val="17"/>
          <w:szCs w:val="17"/>
          <w:u w:val="single" w:color="auto"/>
          <w:color w:val="auto"/>
        </w:rPr>
        <w:t>Section 7.</w:t>
      </w:r>
      <w:r>
        <w:rPr>
          <w:sz w:val="20"/>
          <w:szCs w:val="20"/>
          <w:color w:val="auto"/>
        </w:rPr>
        <w:tab/>
      </w:r>
      <w:r>
        <w:rPr>
          <w:rFonts w:ascii="Times New Roman" w:cs="Times New Roman" w:eastAsia="Times New Roman" w:hAnsi="Times New Roman"/>
          <w:sz w:val="16"/>
          <w:szCs w:val="16"/>
          <w:color w:val="auto"/>
        </w:rPr>
        <w:t>GENERAL PROVISIONS</w:t>
      </w:r>
    </w:p>
    <w:p>
      <w:pPr>
        <w:spacing w:after="0" w:line="149" w:lineRule="exact"/>
        <w:rPr>
          <w:sz w:val="20"/>
          <w:szCs w:val="20"/>
          <w:color w:val="auto"/>
        </w:rPr>
      </w:pPr>
    </w:p>
    <w:p>
      <w:pPr>
        <w:ind w:left="8" w:right="20" w:firstLine="543"/>
        <w:spacing w:after="0" w:line="239" w:lineRule="auto"/>
        <w:tabs>
          <w:tab w:leader="none" w:pos="1102"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Termination, etc</w:t>
      </w:r>
      <w:r>
        <w:rPr>
          <w:rFonts w:ascii="Times New Roman" w:cs="Times New Roman" w:eastAsia="Times New Roman" w:hAnsi="Times New Roman"/>
          <w:sz w:val="17"/>
          <w:szCs w:val="17"/>
          <w:color w:val="auto"/>
        </w:rPr>
        <w:t>. The Board or the Committee may at any time and from time to time modify, alter, amend, suspend, discontinue or terminate this Plan (including, without</w:t>
      </w:r>
    </w:p>
    <w:p>
      <w:pPr>
        <w:sectPr>
          <w:pgSz w:w="11900" w:h="16838" w:orient="portrait"/>
          <w:cols w:equalWidth="0" w:num="1">
            <w:col w:w="11268"/>
          </w:cols>
          <w:pgMar w:left="312" w:top="1212" w:right="319" w:bottom="1440" w:gutter="0" w:footer="0" w:header="0"/>
        </w:sectPr>
      </w:pPr>
    </w:p>
    <w:bookmarkStart w:id="197" w:name="page198"/>
    <w:bookmarkEnd w:id="197"/>
    <w:p>
      <w:pPr>
        <w:ind w:right="20"/>
        <w:spacing w:after="0" w:line="239" w:lineRule="auto"/>
        <w:rPr>
          <w:sz w:val="20"/>
          <w:szCs w:val="20"/>
          <w:color w:val="auto"/>
        </w:rPr>
      </w:pPr>
      <w:r>
        <w:rPr>
          <w:rFonts w:ascii="Times New Roman" w:cs="Times New Roman" w:eastAsia="Times New Roman" w:hAnsi="Times New Roman"/>
          <w:sz w:val="17"/>
          <w:szCs w:val="17"/>
          <w:color w:val="auto"/>
        </w:rPr>
        <w:t>limitation, any portion of the Plan or any terms and conditions established under the Plan with respect to any Performance Period), including in any manner that adversely affects the rights of Participants.</w:t>
      </w:r>
    </w:p>
    <w:p>
      <w:pPr>
        <w:spacing w:after="0" w:line="127" w:lineRule="exact"/>
        <w:rPr>
          <w:sz w:val="20"/>
          <w:szCs w:val="20"/>
          <w:color w:val="auto"/>
        </w:rPr>
      </w:pPr>
    </w:p>
    <w:p>
      <w:pPr>
        <w:jc w:val="both"/>
        <w:ind w:firstLine="543"/>
        <w:spacing w:after="0" w:line="219" w:lineRule="auto"/>
        <w:tabs>
          <w:tab w:leader="none" w:pos="109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Nonassignability</w:t>
      </w:r>
      <w:r>
        <w:rPr>
          <w:rFonts w:ascii="Times New Roman" w:cs="Times New Roman" w:eastAsia="Times New Roman" w:hAnsi="Times New Roman"/>
          <w:sz w:val="17"/>
          <w:szCs w:val="17"/>
          <w:color w:val="auto"/>
        </w:rPr>
        <w:t>. No rights of any Participant (or of any beneficiary pursuant to this Section 7(b)) under this Plan may be sold, exchanged, transferred, assigned, pledged, hypothecated or otherwise disposed of (including through the use of any cash-settled instrument), either voluntarily or involuntarily by operation of law, other than by will or by the laws of descent and distribution. Any sale, exchange, transfer, assignment, pledge, hypothecation or other disposition in violation of the provisions of this Section 7(b) shall be void. In the event of a Participant’s death, amounts owed under this Plan to such Participant, if any, shall be paid in accordance with this Plan to a Participant’s estate.</w:t>
      </w:r>
    </w:p>
    <w:p>
      <w:pPr>
        <w:spacing w:after="0" w:line="141" w:lineRule="exact"/>
        <w:rPr>
          <w:rFonts w:ascii="Times New Roman" w:cs="Times New Roman" w:eastAsia="Times New Roman" w:hAnsi="Times New Roman"/>
          <w:sz w:val="17"/>
          <w:szCs w:val="17"/>
          <w:color w:val="auto"/>
        </w:rPr>
      </w:pPr>
    </w:p>
    <w:p>
      <w:pPr>
        <w:ind w:firstLine="543"/>
        <w:spacing w:after="0" w:line="232" w:lineRule="auto"/>
        <w:tabs>
          <w:tab w:leader="none" w:pos="1094"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Creates No Employment Rights</w:t>
      </w:r>
      <w:r>
        <w:rPr>
          <w:rFonts w:ascii="Times New Roman" w:cs="Times New Roman" w:eastAsia="Times New Roman" w:hAnsi="Times New Roman"/>
          <w:sz w:val="17"/>
          <w:szCs w:val="17"/>
          <w:color w:val="auto"/>
        </w:rPr>
        <w:t>. Nothing in this Plan shall confer upon any Participant the right to continue in the employ of the Company Group for the Performance Period or thereafter or affect any right which the Company Group may have to terminate such employment.</w:t>
      </w:r>
    </w:p>
    <w:p>
      <w:pPr>
        <w:spacing w:after="0" w:line="138" w:lineRule="exact"/>
        <w:rPr>
          <w:rFonts w:ascii="Times New Roman" w:cs="Times New Roman" w:eastAsia="Times New Roman" w:hAnsi="Times New Roman"/>
          <w:sz w:val="17"/>
          <w:szCs w:val="17"/>
          <w:color w:val="auto"/>
        </w:rPr>
      </w:pPr>
    </w:p>
    <w:p>
      <w:pPr>
        <w:jc w:val="both"/>
        <w:ind w:firstLine="543"/>
        <w:spacing w:after="0" w:line="229" w:lineRule="auto"/>
        <w:tabs>
          <w:tab w:leader="none" w:pos="109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If any provision of this Plan or any Bonus</w:t>
      </w:r>
      <w:r>
        <w:rPr>
          <w:rFonts w:ascii="Times New Roman" w:cs="Times New Roman" w:eastAsia="Times New Roman" w:hAnsi="Times New Roman"/>
          <w:sz w:val="16"/>
          <w:szCs w:val="16"/>
          <w:color w:val="auto"/>
        </w:rPr>
        <w:t xml:space="preserve"> contravenes </w:t>
      </w:r>
      <w:r>
        <w:rPr>
          <w:rFonts w:ascii="Times New Roman" w:cs="Times New Roman" w:eastAsia="Times New Roman" w:hAnsi="Times New Roman"/>
          <w:sz w:val="16"/>
          <w:szCs w:val="16"/>
          <w:color w:val="231F20"/>
        </w:rPr>
        <w:t>Section 409A of the Internal Revenue Code (“</w:t>
      </w:r>
      <w:r>
        <w:rPr>
          <w:rFonts w:ascii="Times New Roman" w:cs="Times New Roman" w:eastAsia="Times New Roman" w:hAnsi="Times New Roman"/>
          <w:sz w:val="16"/>
          <w:szCs w:val="16"/>
          <w:u w:val="single" w:color="auto"/>
          <w:color w:val="231F20"/>
        </w:rPr>
        <w:t>Section 409A</w:t>
      </w:r>
      <w:r>
        <w:rPr>
          <w:rFonts w:ascii="Times New Roman" w:cs="Times New Roman" w:eastAsia="Times New Roman" w:hAnsi="Times New Roman"/>
          <w:sz w:val="16"/>
          <w:szCs w:val="16"/>
          <w:color w:val="231F20"/>
        </w:rPr>
        <w:t>”) or could cause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Participant to recognize income for United States federal tax purposes in respect of a Bonus prior to payment of the Bonus or to be subject to any tax or interest under Section 409A, such provision of this Plan or any Bonus may be modified to maintain, to the maximum extent practicable, the original intent of the applicable provision without the imposition of any tax or interest under Section 409A. Moreover, any discretionary authority that the Committee may have pursuant </w:t>
      </w:r>
      <w:r>
        <w:rPr>
          <w:rFonts w:ascii="Times New Roman" w:cs="Times New Roman" w:eastAsia="Times New Roman" w:hAnsi="Times New Roman"/>
          <w:sz w:val="16"/>
          <w:szCs w:val="16"/>
          <w:color w:val="000000"/>
        </w:rPr>
        <w:t>to</w:t>
      </w:r>
      <w:r>
        <w:rPr>
          <w:rFonts w:ascii="Times New Roman" w:cs="Times New Roman" w:eastAsia="Times New Roman" w:hAnsi="Times New Roman"/>
          <w:sz w:val="16"/>
          <w:szCs w:val="16"/>
          <w:color w:val="231F20"/>
        </w:rPr>
        <w:t xml:space="preserve"> this Plan shall not be applicable to a Bonus that is subject to Section 409A to the extent such discretionary authority would contravene Section 409A or cause a Participant to recognize income for United States federal tax purposes in respect of a Bonus prior to payment of the Bonus or to be subject to any tax or interest under Section 409A.</w:t>
      </w:r>
    </w:p>
    <w:p>
      <w:pPr>
        <w:spacing w:after="0" w:line="140" w:lineRule="exact"/>
        <w:rPr>
          <w:rFonts w:ascii="Times New Roman" w:cs="Times New Roman" w:eastAsia="Times New Roman" w:hAnsi="Times New Roman"/>
          <w:sz w:val="16"/>
          <w:szCs w:val="16"/>
          <w:color w:val="auto"/>
        </w:rPr>
      </w:pPr>
    </w:p>
    <w:p>
      <w:pPr>
        <w:ind w:right="20" w:firstLine="543"/>
        <w:spacing w:after="0" w:line="239" w:lineRule="auto"/>
        <w:tabs>
          <w:tab w:leader="none" w:pos="1094"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Recoupment</w:t>
      </w:r>
      <w:r>
        <w:rPr>
          <w:rFonts w:ascii="Times New Roman" w:cs="Times New Roman" w:eastAsia="Times New Roman" w:hAnsi="Times New Roman"/>
          <w:sz w:val="17"/>
          <w:szCs w:val="17"/>
          <w:color w:val="auto"/>
        </w:rPr>
        <w:t>. All Bonuses granted under this Plan, shall be subject to clawback or recoupment as permitted or mandated by applicable law, rules or regulations or any policy of the Company Group, in each case as enacted, adopted or modified from time to time.</w:t>
      </w:r>
    </w:p>
    <w:p>
      <w:pPr>
        <w:spacing w:after="0" w:line="127" w:lineRule="exact"/>
        <w:rPr>
          <w:rFonts w:ascii="Times New Roman" w:cs="Times New Roman" w:eastAsia="Times New Roman" w:hAnsi="Times New Roman"/>
          <w:sz w:val="17"/>
          <w:szCs w:val="17"/>
          <w:color w:val="auto"/>
        </w:rPr>
      </w:pPr>
    </w:p>
    <w:p>
      <w:pPr>
        <w:jc w:val="both"/>
        <w:ind w:firstLine="543"/>
        <w:spacing w:after="0" w:line="225" w:lineRule="auto"/>
        <w:tabs>
          <w:tab w:leader="none" w:pos="1098"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If any of the provisions of this Plan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39" w:lineRule="exact"/>
        <w:rPr>
          <w:rFonts w:ascii="Times New Roman" w:cs="Times New Roman" w:eastAsia="Times New Roman" w:hAnsi="Times New Roman"/>
          <w:sz w:val="17"/>
          <w:szCs w:val="17"/>
          <w:color w:val="auto"/>
        </w:rPr>
      </w:pPr>
    </w:p>
    <w:p>
      <w:pPr>
        <w:ind w:firstLine="543"/>
        <w:spacing w:after="0" w:line="239" w:lineRule="auto"/>
        <w:tabs>
          <w:tab w:leader="none" w:pos="109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this Plan are for the purpose of convenience only and are not intended to define or limit the construction of the provisions hereof.</w:t>
      </w:r>
    </w:p>
    <w:p>
      <w:pPr>
        <w:spacing w:after="0" w:line="127" w:lineRule="exact"/>
        <w:rPr>
          <w:rFonts w:ascii="Times New Roman" w:cs="Times New Roman" w:eastAsia="Times New Roman" w:hAnsi="Times New Roman"/>
          <w:sz w:val="17"/>
          <w:szCs w:val="17"/>
          <w:color w:val="auto"/>
        </w:rPr>
      </w:pPr>
    </w:p>
    <w:p>
      <w:pPr>
        <w:jc w:val="both"/>
        <w:ind w:firstLine="543"/>
        <w:spacing w:after="0" w:line="230" w:lineRule="auto"/>
        <w:tabs>
          <w:tab w:leader="none" w:pos="1092"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In the construction of this Plan, the singular shall include the plural, and vice versa, in all cases where such meanings would be appropriate. Nothing in this Plan shall preclude or limit the ability of the Company Group to pay any compensation to a Participant under any other plan or compensatory arrangement whether or not in effect on the date this Plan was adopted.</w:t>
      </w:r>
    </w:p>
    <w:p>
      <w:pPr>
        <w:sectPr>
          <w:pgSz w:w="11900" w:h="16838" w:orient="portrait"/>
          <w:cols w:equalWidth="0" w:num="1">
            <w:col w:w="11260"/>
          </w:cols>
          <w:pgMar w:left="320" w:top="1211"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95" w:lineRule="exact"/>
        <w:rPr>
          <w:sz w:val="20"/>
          <w:szCs w:val="20"/>
          <w:color w:val="auto"/>
        </w:rPr>
      </w:pPr>
    </w:p>
    <w:p>
      <w:pPr>
        <w:jc w:val="both"/>
        <w:ind w:right="280" w:firstLine="550"/>
        <w:spacing w:after="0" w:line="271"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August 2, 2022, is made between Caris Science, Inc., a Texas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John Russel Denton (the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The Company and Employee are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The Parties anticipate that Employee will begin employment on September 1, 2022 (the date Employee commences employment,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99" w:lineRule="exact"/>
        <w:rPr>
          <w:sz w:val="20"/>
          <w:szCs w:val="20"/>
          <w:color w:val="auto"/>
        </w:rPr>
      </w:pPr>
    </w:p>
    <w:p>
      <w:pPr>
        <w:jc w:val="both"/>
        <w:ind w:right="280" w:firstLine="542"/>
        <w:spacing w:after="0" w:line="261" w:lineRule="auto"/>
        <w:tabs>
          <w:tab w:leader="none" w:pos="10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engaged in the business of providing diagnostics products and services, including, without limitation, pathology and work flow solutions, tissue banking and diagnostics and analysis, molecular diagnostics, lab services and other related services and products to pharmaceutical companies, physicians, health care providers and others throughout the United States. Specifically, the description above includes, but is not limited to, any and all conduct or action in furtherance of any discovery, research, development, provision, performance, marketing, sale or any other commercialization of any product, service or application that (i) is directly or indirectly based on, connected with, or relating to lipid encapsulated bodies including intracellular or extracellular microvesicles or exosomes, irrespective of their form, size or origin, for any utility or purpose, or (ii) directly or indirectly involves molecular profiling of any human-derived sample or specimen and associated therapeutic decision support for any clinical or research purpose relating to or connected with cancer (collectively and singularly, along with any other business in which the Company engages, is hereinafter referred to as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080" w:hanging="538"/>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Employee desire to enter into this Agreement to govern the employment relationship between them.</w:t>
      </w:r>
    </w:p>
    <w:p>
      <w:pPr>
        <w:spacing w:after="0" w:line="195" w:lineRule="exact"/>
        <w:rPr>
          <w:sz w:val="20"/>
          <w:szCs w:val="20"/>
          <w:color w:val="auto"/>
        </w:rPr>
      </w:pPr>
    </w:p>
    <w:p>
      <w:pPr>
        <w:jc w:val="both"/>
        <w:ind w:right="280" w:firstLine="550"/>
        <w:spacing w:after="0" w:line="304" w:lineRule="auto"/>
        <w:rPr>
          <w:sz w:val="20"/>
          <w:szCs w:val="20"/>
          <w:color w:val="auto"/>
        </w:rPr>
      </w:pPr>
      <w:r>
        <w:rPr>
          <w:rFonts w:ascii="Times New Roman" w:cs="Times New Roman" w:eastAsia="Times New Roman" w:hAnsi="Times New Roman"/>
          <w:sz w:val="18"/>
          <w:szCs w:val="18"/>
          <w:color w:val="auto"/>
        </w:rPr>
        <w:t>NOW THEREFORE, in consideration of the foregoing Recitals (which are hereby incorporated by reference), the agreements hereafter set forth and other good and valuable consideration, the receipt and sufficiency of which are hereby acknowledged, the Parties agree as follows:</w:t>
      </w:r>
    </w:p>
    <w:p>
      <w:pPr>
        <w:spacing w:after="0" w:line="1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EMPLOYMENT AND ACCEPTANCE</w:t>
      </w:r>
    </w:p>
    <w:p>
      <w:pPr>
        <w:spacing w:after="0" w:line="159" w:lineRule="exact"/>
        <w:rPr>
          <w:sz w:val="20"/>
          <w:szCs w:val="20"/>
          <w:color w:val="auto"/>
        </w:rPr>
      </w:pPr>
    </w:p>
    <w:p>
      <w:pPr>
        <w:jc w:val="both"/>
        <w:ind w:right="280" w:firstLine="551"/>
        <w:spacing w:after="0" w:line="266" w:lineRule="auto"/>
        <w:rPr>
          <w:sz w:val="20"/>
          <w:szCs w:val="20"/>
          <w:color w:val="auto"/>
        </w:rPr>
      </w:pPr>
      <w:r>
        <w:rPr>
          <w:rFonts w:ascii="Times New Roman" w:cs="Times New Roman" w:eastAsia="Times New Roman" w:hAnsi="Times New Roman"/>
          <w:sz w:val="18"/>
          <w:szCs w:val="18"/>
          <w:b w:val="1"/>
          <w:bCs w:val="1"/>
          <w:color w:val="auto"/>
        </w:rPr>
        <w:t>1.1. Employment by the Company</w:t>
      </w:r>
      <w:r>
        <w:rPr>
          <w:rFonts w:ascii="Times New Roman" w:cs="Times New Roman" w:eastAsia="Times New Roman" w:hAnsi="Times New Roman"/>
          <w:sz w:val="18"/>
          <w:szCs w:val="18"/>
          <w:color w:val="auto"/>
        </w:rPr>
        <w:t>. The Company hereby agrees to employ the Employee for a two (2) year term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the Effective Date, and expiring two (2) years from the Effective Date. During the Term, the Employee shall serve in the capacity of Senior Vice President and General Counsel of the CLS Group (as defined below), subject to the direction of the Chief Executive Officer of the CLS Group, of the Company or their designee. Upon expiration of the Term this Agreement will automatically renew for successive one (1) year periods unless terminated in accordance with the terms hereof. The “</w:t>
      </w:r>
      <w:r>
        <w:rPr>
          <w:rFonts w:ascii="Times New Roman" w:cs="Times New Roman" w:eastAsia="Times New Roman" w:hAnsi="Times New Roman"/>
          <w:sz w:val="18"/>
          <w:szCs w:val="18"/>
          <w:b w:val="1"/>
          <w:bCs w:val="1"/>
          <w:i w:val="1"/>
          <w:iCs w:val="1"/>
          <w:color w:val="auto"/>
        </w:rPr>
        <w:t>CLS Group</w:t>
      </w:r>
      <w:r>
        <w:rPr>
          <w:rFonts w:ascii="Times New Roman" w:cs="Times New Roman" w:eastAsia="Times New Roman" w:hAnsi="Times New Roman"/>
          <w:sz w:val="18"/>
          <w:szCs w:val="18"/>
          <w:color w:val="auto"/>
        </w:rPr>
        <w:t>” means Caris Life Sciences, Inc., a Texas corporation and its subsidiaries.</w:t>
      </w:r>
    </w:p>
    <w:p>
      <w:pPr>
        <w:sectPr>
          <w:pgSz w:w="11900" w:h="16838" w:orient="portrait"/>
          <w:cols w:equalWidth="0" w:num="1">
            <w:col w:w="11260"/>
          </w:cols>
          <w:pgMar w:left="320" w:top="523" w:right="319" w:bottom="1440" w:gutter="0" w:footer="0" w:header="0"/>
        </w:sectPr>
      </w:pPr>
    </w:p>
    <w:bookmarkStart w:id="199" w:name="page200"/>
    <w:bookmarkEnd w:id="199"/>
    <w:p>
      <w:pPr>
        <w:jc w:val="both"/>
        <w:ind w:right="280" w:firstLine="550"/>
        <w:spacing w:after="0" w:line="268" w:lineRule="auto"/>
        <w:rPr>
          <w:sz w:val="20"/>
          <w:szCs w:val="20"/>
          <w:color w:val="auto"/>
        </w:rPr>
      </w:pPr>
      <w:r>
        <w:rPr>
          <w:rFonts w:ascii="Times New Roman" w:cs="Times New Roman" w:eastAsia="Times New Roman" w:hAnsi="Times New Roman"/>
          <w:sz w:val="18"/>
          <w:szCs w:val="18"/>
          <w:b w:val="1"/>
          <w:bCs w:val="1"/>
          <w:color w:val="auto"/>
        </w:rPr>
        <w:t>1.2 Duties and Responsibilities</w:t>
      </w:r>
      <w:r>
        <w:rPr>
          <w:rFonts w:ascii="Times New Roman" w:cs="Times New Roman" w:eastAsia="Times New Roman" w:hAnsi="Times New Roman"/>
          <w:sz w:val="18"/>
          <w:szCs w:val="18"/>
          <w:color w:val="auto"/>
        </w:rPr>
        <w:t>. During the Term, the Employee shall devote the Employee’s best efforts and all of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time and services to the Company, its affiliates and subsidiaries, and shall carry out all Company policies and directives in a manner which will promote and develop the Company’s best interests. The Employee shall have the duties and authority assigned to the Employee by the Chief Executive Officer of the CLS Group. Employee will be permitted to work remotely from Austin, Texas, but is expected to travel at the Company’s request.</w:t>
      </w:r>
    </w:p>
    <w:p>
      <w:pPr>
        <w:spacing w:after="0" w:line="362" w:lineRule="exact"/>
        <w:rPr>
          <w:sz w:val="20"/>
          <w:szCs w:val="20"/>
          <w:color w:val="auto"/>
        </w:rPr>
      </w:pPr>
    </w:p>
    <w:p>
      <w:pPr>
        <w:jc w:val="both"/>
        <w:ind w:right="280"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1.3 Company Representations and Warranties</w:t>
      </w:r>
      <w:r>
        <w:rPr>
          <w:rFonts w:ascii="Times New Roman" w:cs="Times New Roman" w:eastAsia="Times New Roman" w:hAnsi="Times New Roman"/>
          <w:sz w:val="18"/>
          <w:szCs w:val="18"/>
          <w:color w:val="auto"/>
        </w:rPr>
        <w:t>. The Company represents and warrants that (i) it has full authority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(ii) that it is not restricted in any manner from employing the Employee under the terms and conditions set forth in this Agreement.</w:t>
      </w:r>
    </w:p>
    <w:p>
      <w:pPr>
        <w:spacing w:after="0" w:line="88" w:lineRule="exact"/>
        <w:rPr>
          <w:sz w:val="20"/>
          <w:szCs w:val="20"/>
          <w:color w:val="auto"/>
        </w:rPr>
      </w:pPr>
    </w:p>
    <w:p>
      <w:pPr>
        <w:jc w:val="both"/>
        <w:ind w:firstLine="550"/>
        <w:spacing w:after="0" w:line="236" w:lineRule="auto"/>
        <w:rPr>
          <w:sz w:val="20"/>
          <w:szCs w:val="20"/>
          <w:color w:val="auto"/>
        </w:rPr>
      </w:pPr>
      <w:r>
        <w:rPr>
          <w:rFonts w:ascii="Times New Roman" w:cs="Times New Roman" w:eastAsia="Times New Roman" w:hAnsi="Times New Roman"/>
          <w:sz w:val="18"/>
          <w:szCs w:val="18"/>
          <w:b w:val="1"/>
          <w:bCs w:val="1"/>
          <w:color w:val="auto"/>
        </w:rPr>
        <w:t>1.4. Acceptance of Employment by the Employee</w:t>
      </w:r>
      <w:r>
        <w:rPr>
          <w:rFonts w:ascii="Times New Roman" w:cs="Times New Roman" w:eastAsia="Times New Roman" w:hAnsi="Times New Roman"/>
          <w:sz w:val="18"/>
          <w:szCs w:val="18"/>
          <w:color w:val="auto"/>
        </w:rPr>
        <w:t>. The Employee hereby accepts such employment and represents and warrants that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has full authority to enter into this Agreement, (ii) the Employee is not restricted in any manner from providing services hereunder or from engaging in the Business and (iii) the Employee is not aware of any situation creating a conflict of interest between the Employee and the Company.</w:t>
      </w:r>
    </w:p>
    <w:p>
      <w:pPr>
        <w:spacing w:after="0" w:line="170" w:lineRule="exact"/>
        <w:rPr>
          <w:sz w:val="20"/>
          <w:szCs w:val="20"/>
          <w:color w:val="auto"/>
        </w:rPr>
      </w:pPr>
    </w:p>
    <w:p>
      <w:pPr>
        <w:jc w:val="both"/>
        <w:ind w:right="280" w:firstLine="1101"/>
        <w:spacing w:after="0" w:line="266" w:lineRule="auto"/>
        <w:rPr>
          <w:sz w:val="20"/>
          <w:szCs w:val="20"/>
          <w:color w:val="auto"/>
        </w:rPr>
      </w:pPr>
      <w:r>
        <w:rPr>
          <w:rFonts w:ascii="Times New Roman" w:cs="Times New Roman" w:eastAsia="Times New Roman" w:hAnsi="Times New Roman"/>
          <w:sz w:val="18"/>
          <w:szCs w:val="18"/>
          <w:b w:val="1"/>
          <w:bCs w:val="1"/>
          <w:color w:val="auto"/>
        </w:rPr>
        <w:t>Employee agrees to Company performing appropriate due diligence related to Employee’s potential employment and to the on-going employment. Company may perform any and all background checks it deems necessary and require appropriate certifications prior to employing Employee and at any time during Employee’s employment. Employee acknowledges Company’s right to perform the appropriate background checks and the representation that Employee shall not use confidential or proprietary information obtained from prior employers or otherwise in the performance of the duties herein.</w:t>
      </w: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COMPENSATION AND OTHER BENEFITS</w:t>
      </w:r>
    </w:p>
    <w:p>
      <w:pPr>
        <w:spacing w:after="0" w:line="136" w:lineRule="exact"/>
        <w:rPr>
          <w:sz w:val="20"/>
          <w:szCs w:val="20"/>
          <w:color w:val="auto"/>
        </w:rPr>
      </w:pPr>
    </w:p>
    <w:p>
      <w:pPr>
        <w:ind w:left="5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2.1</w:t>
        <w:tab/>
        <w:t>Annual Salary</w:t>
      </w:r>
      <w:r>
        <w:rPr>
          <w:rFonts w:ascii="Times New Roman" w:cs="Times New Roman" w:eastAsia="Times New Roman" w:hAnsi="Times New Roman"/>
          <w:sz w:val="18"/>
          <w:szCs w:val="18"/>
          <w:color w:val="auto"/>
        </w:rPr>
        <w:t>. The Company shall pay the Employee a salary at the rate of</w:t>
      </w:r>
    </w:p>
    <w:p>
      <w:pPr>
        <w:spacing w:after="0" w:line="2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$450,000 per year of employment hereunder (the “</w:t>
      </w:r>
      <w:r>
        <w:rPr>
          <w:rFonts w:ascii="Times New Roman" w:cs="Times New Roman" w:eastAsia="Times New Roman" w:hAnsi="Times New Roman"/>
          <w:sz w:val="18"/>
          <w:szCs w:val="18"/>
          <w:b w:val="1"/>
          <w:bCs w:val="1"/>
          <w:i w:val="1"/>
          <w:iCs w:val="1"/>
          <w:color w:val="auto"/>
        </w:rPr>
        <w:t>Annual Salary</w:t>
      </w:r>
      <w:r>
        <w:rPr>
          <w:rFonts w:ascii="Times New Roman" w:cs="Times New Roman" w:eastAsia="Times New Roman" w:hAnsi="Times New Roman"/>
          <w:sz w:val="18"/>
          <w:szCs w:val="18"/>
          <w:color w:val="auto"/>
        </w:rPr>
        <w:t>”). The Annual Salary shall be payable in accordance with the payroll policies of the Company as from time to time in effect (but no less often than monthly), less such deductions as shall be required to be withheld by applicable law and regulations.</w:t>
      </w:r>
    </w:p>
    <w:p>
      <w:pPr>
        <w:spacing w:after="0" w:line="137" w:lineRule="exact"/>
        <w:rPr>
          <w:sz w:val="20"/>
          <w:szCs w:val="20"/>
          <w:color w:val="auto"/>
        </w:rPr>
      </w:pPr>
    </w:p>
    <w:p>
      <w:pPr>
        <w:jc w:val="both"/>
        <w:ind w:right="280" w:firstLine="551"/>
        <w:spacing w:after="0" w:line="266" w:lineRule="auto"/>
        <w:rPr>
          <w:sz w:val="20"/>
          <w:szCs w:val="20"/>
          <w:color w:val="auto"/>
        </w:rPr>
      </w:pPr>
      <w:r>
        <w:rPr>
          <w:rFonts w:ascii="Times New Roman" w:cs="Times New Roman" w:eastAsia="Times New Roman" w:hAnsi="Times New Roman"/>
          <w:sz w:val="18"/>
          <w:szCs w:val="18"/>
          <w:b w:val="1"/>
          <w:bCs w:val="1"/>
          <w:color w:val="auto"/>
        </w:rPr>
        <w:t>2.2 Annual Bonus</w:t>
      </w:r>
      <w:r>
        <w:rPr>
          <w:rFonts w:ascii="Times New Roman" w:cs="Times New Roman" w:eastAsia="Times New Roman" w:hAnsi="Times New Roman"/>
          <w:sz w:val="18"/>
          <w:szCs w:val="18"/>
          <w:color w:val="auto"/>
        </w:rPr>
        <w:t>. In addition to the Annual Salary, the Company may, in its sole discretion, award a bonus to Employee following the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fiscal year during the Term based on the Company’s audited financial performance for the fiscal year as well as Employee’s individual contribution to the Company. Any annual bonus payable is discretionary, will be subject to the approval of the Board and shall be paid in accordance with the Company’s normal payroll policies. Employee’s target prorated bonus is fifty percent (50%) of Employee’s actual earnings from the Annual Salary. In order to be eligible to receive the annual bonus, Employee must be employed by the Company on the day such bonus is to be paid.</w:t>
      </w:r>
    </w:p>
    <w:p>
      <w:pPr>
        <w:sectPr>
          <w:pgSz w:w="11900" w:h="16838" w:orient="portrait"/>
          <w:cols w:equalWidth="0" w:num="1">
            <w:col w:w="11260"/>
          </w:cols>
          <w:pgMar w:left="320" w:top="1410" w:right="319" w:bottom="1440" w:gutter="0" w:footer="0" w:header="0"/>
        </w:sectPr>
      </w:pPr>
    </w:p>
    <w:bookmarkStart w:id="200" w:name="page201"/>
    <w:bookmarkEnd w:id="200"/>
    <w:p>
      <w:pPr>
        <w:jc w:val="both"/>
        <w:ind w:firstLine="550"/>
        <w:spacing w:after="0" w:line="260" w:lineRule="auto"/>
        <w:rPr>
          <w:sz w:val="20"/>
          <w:szCs w:val="20"/>
          <w:color w:val="auto"/>
        </w:rPr>
      </w:pPr>
      <w:r>
        <w:rPr>
          <w:rFonts w:ascii="Times New Roman" w:cs="Times New Roman" w:eastAsia="Times New Roman" w:hAnsi="Times New Roman"/>
          <w:sz w:val="18"/>
          <w:szCs w:val="18"/>
          <w:b w:val="1"/>
          <w:bCs w:val="1"/>
          <w:color w:val="auto"/>
        </w:rPr>
        <w:t>2.3 Stock Options and Other Equity Incentives</w:t>
      </w:r>
      <w:r>
        <w:rPr>
          <w:rFonts w:ascii="Times New Roman" w:cs="Times New Roman" w:eastAsia="Times New Roman" w:hAnsi="Times New Roman"/>
          <w:sz w:val="18"/>
          <w:szCs w:val="18"/>
          <w:color w:val="auto"/>
        </w:rPr>
        <w:t>. Subject to approval by the Board of Directors, Caris Life Sciences, Inc. will grant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one million and twenty thousand stock options with an exercise price set by the Plan Administrator as authorized by the Board of Directors which is expected to be equal to the Company’s current 409A valuation as determined by the Board of Directors. All such options shall be granted pursuant to the terms of the Caris Life Sciences, Inc. 2020 Incentive Stock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an option agreement. In addition, the Company may, in its sole discretion, from time-to-time grant stock options or other equity-based incentives to Employee. The Company will recommend to the Board of Directors that the options granted to Employee will be “early exercise” options that will be exercisable for restricted stock prior to vesting and, if such early exercise options are granted, the CLS Group will provide a loan to Employee to pay the exercise price of such options with terms acceptable to CLS Group.</w:t>
      </w:r>
    </w:p>
    <w:p>
      <w:pPr>
        <w:spacing w:after="0" w:line="158" w:lineRule="exact"/>
        <w:rPr>
          <w:sz w:val="20"/>
          <w:szCs w:val="20"/>
          <w:color w:val="auto"/>
        </w:rPr>
      </w:pPr>
    </w:p>
    <w:p>
      <w:pPr>
        <w:jc w:val="both"/>
        <w:ind w:firstLine="55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Vesting of Stock Options. </w:t>
      </w:r>
      <w:r>
        <w:rPr>
          <w:rFonts w:ascii="Times New Roman" w:cs="Times New Roman" w:eastAsia="Times New Roman" w:hAnsi="Times New Roman"/>
          <w:sz w:val="18"/>
          <w:szCs w:val="18"/>
          <w:color w:val="auto"/>
        </w:rPr>
        <w:t>Employee’s Initial Grant as described in Section 2.3 (“</w:t>
      </w:r>
      <w:r>
        <w:rPr>
          <w:rFonts w:ascii="Times New Roman" w:cs="Times New Roman" w:eastAsia="Times New Roman" w:hAnsi="Times New Roman"/>
          <w:sz w:val="18"/>
          <w:szCs w:val="18"/>
          <w:b w:val="1"/>
          <w:bCs w:val="1"/>
          <w:color w:val="auto"/>
        </w:rPr>
        <w:t>Initial Grant</w:t>
      </w:r>
      <w:r>
        <w:rPr>
          <w:rFonts w:ascii="Times New Roman" w:cs="Times New Roman" w:eastAsia="Times New Roman" w:hAnsi="Times New Roman"/>
          <w:sz w:val="18"/>
          <w:szCs w:val="18"/>
          <w:color w:val="auto"/>
        </w:rPr>
        <w:t>”) will vest at 20% on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start date with Company. The remaining portion of the Initial Grant will vest according to the terms of the Granting Document, with 20% vesting on each anniversary of Employee’s start date with the Company until the Initial Grant has fully vested. In the event of a Change of Control, as that term is defined by the Plan, any remaining, unvested options from the Initial Grant, will be immediately vested.</w:t>
      </w:r>
    </w:p>
    <w:p>
      <w:pPr>
        <w:spacing w:after="0" w:line="135" w:lineRule="exact"/>
        <w:rPr>
          <w:sz w:val="20"/>
          <w:szCs w:val="20"/>
          <w:color w:val="auto"/>
        </w:rPr>
      </w:pPr>
    </w:p>
    <w:p>
      <w:pPr>
        <w:jc w:val="both"/>
        <w:ind w:firstLine="551"/>
        <w:spacing w:after="0" w:line="280" w:lineRule="auto"/>
        <w:rPr>
          <w:sz w:val="20"/>
          <w:szCs w:val="20"/>
          <w:color w:val="auto"/>
        </w:rPr>
      </w:pPr>
      <w:r>
        <w:rPr>
          <w:rFonts w:ascii="Times New Roman" w:cs="Times New Roman" w:eastAsia="Times New Roman" w:hAnsi="Times New Roman"/>
          <w:sz w:val="18"/>
          <w:szCs w:val="18"/>
          <w:b w:val="1"/>
          <w:bCs w:val="1"/>
          <w:color w:val="auto"/>
        </w:rPr>
        <w:t>2.4 Vacation Policy</w:t>
      </w:r>
      <w:r>
        <w:rPr>
          <w:rFonts w:ascii="Times New Roman" w:cs="Times New Roman" w:eastAsia="Times New Roman" w:hAnsi="Times New Roman"/>
          <w:sz w:val="18"/>
          <w:szCs w:val="18"/>
          <w:color w:val="auto"/>
        </w:rPr>
        <w:t>. In accordance with the Company’s Discretionary Time Off (DTO) policy as set forth in the Company’s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Summary, Employee shall be entitled to discretionary time off from work. The Company reserves the right to amend the DTO policy at any time.</w:t>
      </w:r>
    </w:p>
    <w:p>
      <w:pPr>
        <w:spacing w:after="0" w:line="125" w:lineRule="exact"/>
        <w:rPr>
          <w:sz w:val="20"/>
          <w:szCs w:val="20"/>
          <w:color w:val="auto"/>
        </w:rPr>
      </w:pPr>
    </w:p>
    <w:p>
      <w:pPr>
        <w:jc w:val="both"/>
        <w:ind w:firstLine="551"/>
        <w:spacing w:after="0" w:line="267" w:lineRule="auto"/>
        <w:rPr>
          <w:sz w:val="20"/>
          <w:szCs w:val="20"/>
          <w:color w:val="auto"/>
        </w:rPr>
      </w:pPr>
      <w:r>
        <w:rPr>
          <w:rFonts w:ascii="Times New Roman" w:cs="Times New Roman" w:eastAsia="Times New Roman" w:hAnsi="Times New Roman"/>
          <w:sz w:val="18"/>
          <w:szCs w:val="18"/>
          <w:b w:val="1"/>
          <w:bCs w:val="1"/>
          <w:color w:val="auto"/>
        </w:rPr>
        <w:t>2.5 Participation in Employee Benefit Plans</w:t>
      </w:r>
      <w:r>
        <w:rPr>
          <w:rFonts w:ascii="Times New Roman" w:cs="Times New Roman" w:eastAsia="Times New Roman" w:hAnsi="Times New Roman"/>
          <w:sz w:val="18"/>
          <w:szCs w:val="18"/>
          <w:color w:val="auto"/>
        </w:rPr>
        <w:t>. At the Employee’s option, the Company agrees to permit the Employee during the Term,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extent eligible, to participate in any group life, health care or group disability insurance plan, pension plan, similar benefit plan or other so-called “fringe benefits” of the Company (collectively “</w:t>
      </w:r>
      <w:r>
        <w:rPr>
          <w:rFonts w:ascii="Times New Roman" w:cs="Times New Roman" w:eastAsia="Times New Roman" w:hAnsi="Times New Roman"/>
          <w:sz w:val="18"/>
          <w:szCs w:val="18"/>
          <w:b w:val="1"/>
          <w:bCs w:val="1"/>
          <w:i w:val="1"/>
          <w:iCs w:val="1"/>
          <w:color w:val="auto"/>
        </w:rPr>
        <w:t>Benefits</w:t>
      </w:r>
      <w:r>
        <w:rPr>
          <w:rFonts w:ascii="Times New Roman" w:cs="Times New Roman" w:eastAsia="Times New Roman" w:hAnsi="Times New Roman"/>
          <w:sz w:val="18"/>
          <w:szCs w:val="18"/>
          <w:color w:val="auto"/>
        </w:rPr>
        <w:t>”) which may be made generally available to other employees or executives of the Company and on such terms as the Benefits are made generally available to such employees.</w:t>
      </w:r>
    </w:p>
    <w:p>
      <w:pPr>
        <w:spacing w:after="0" w:line="170" w:lineRule="exact"/>
        <w:rPr>
          <w:sz w:val="20"/>
          <w:szCs w:val="20"/>
          <w:color w:val="auto"/>
        </w:rPr>
      </w:pPr>
    </w:p>
    <w:p>
      <w:pPr>
        <w:jc w:val="both"/>
        <w:ind w:firstLine="551"/>
        <w:spacing w:after="0" w:line="274" w:lineRule="auto"/>
        <w:rPr>
          <w:sz w:val="20"/>
          <w:szCs w:val="20"/>
          <w:color w:val="auto"/>
        </w:rPr>
      </w:pPr>
      <w:r>
        <w:rPr>
          <w:rFonts w:ascii="Times New Roman" w:cs="Times New Roman" w:eastAsia="Times New Roman" w:hAnsi="Times New Roman"/>
          <w:sz w:val="18"/>
          <w:szCs w:val="18"/>
          <w:b w:val="1"/>
          <w:bCs w:val="1"/>
          <w:color w:val="auto"/>
        </w:rPr>
        <w:t>2.6 Expenses</w:t>
      </w:r>
      <w:r>
        <w:rPr>
          <w:rFonts w:ascii="Times New Roman" w:cs="Times New Roman" w:eastAsia="Times New Roman" w:hAnsi="Times New Roman"/>
          <w:sz w:val="18"/>
          <w:szCs w:val="18"/>
          <w:color w:val="auto"/>
        </w:rPr>
        <w:t>. The Company shall pay or reimburse the Employee for all business expenses reasonably and necessarily incurred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during the Term in the performance of the Employee’s services under this Agreement, including travel-related expenses in connection with travel requested by the Company, in each case in accordance with Company policy.</w:t>
      </w:r>
    </w:p>
    <w:p>
      <w:pPr>
        <w:spacing w:after="0" w:line="1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RESTRICTIONS</w:t>
      </w:r>
    </w:p>
    <w:p>
      <w:pPr>
        <w:spacing w:after="0" w:line="159"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3.1</w:t>
        <w:tab/>
        <w:t>Nondisclosure of Confidential Information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firstLine="542"/>
        <w:spacing w:after="0" w:line="304" w:lineRule="auto"/>
        <w:tabs>
          <w:tab w:leader="none" w:pos="938" w:val="left"/>
        </w:tabs>
        <w:numPr>
          <w:ilvl w:val="0"/>
          <w:numId w:val="18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Recognition of Company Rights; Nondisclosure</w:t>
      </w:r>
      <w:r>
        <w:rPr>
          <w:rFonts w:ascii="Times New Roman" w:cs="Times New Roman" w:eastAsia="Times New Roman" w:hAnsi="Times New Roman"/>
          <w:sz w:val="18"/>
          <w:szCs w:val="18"/>
          <w:color w:val="auto"/>
        </w:rPr>
        <w:t>. For so long as Employee is employed by the Company (whether during the term of this Agreement or after its expiration,</w:t>
      </w:r>
    </w:p>
    <w:p>
      <w:pPr>
        <w:sectPr>
          <w:pgSz w:w="11900" w:h="16838" w:orient="portrait"/>
          <w:cols w:equalWidth="0" w:num="1">
            <w:col w:w="10980"/>
          </w:cols>
          <w:pgMar w:left="320" w:top="1410" w:right="599" w:bottom="1440" w:gutter="0" w:footer="0" w:header="0"/>
        </w:sectPr>
      </w:pPr>
    </w:p>
    <w:bookmarkStart w:id="201" w:name="page202"/>
    <w:bookmarkEnd w:id="201"/>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Employee will have access to Confidential Information, including Confidential Information Employee has not accessed prior to the Effective Date. Employee recognizes that the Company’s business interests require the fullest practical protection and confidential treatment of the Confidential Information. At all time during the Employment and thereafter, Employee will hold in strictest confidence and will not disclose, use, provide access to, or publish any Confidential Information, except as such disclosure, use or publication may be required in connection with Employee’s services for the Company. Employee agrees that all Confidential Information, whether prepared by Employee or otherwise coming into Employee’s possession, shall remain the exclusive property of the Company. Employee will obtain the Company’s written approval before publishing or submitting for publication any material (written, oral, or otherwise) that relates to Employee’s work at the Company, any Confidential Information and/or any material that incorporates any Confidential Information. Employee hereby assigns to the Company any rights Employee may have or acquire in such Confidential Information and recognizes that all Confidential Information is the sole property of the Company and its assigns.</w:t>
      </w:r>
    </w:p>
    <w:p>
      <w:pPr>
        <w:spacing w:after="0" w:line="370" w:lineRule="exact"/>
        <w:rPr>
          <w:sz w:val="20"/>
          <w:szCs w:val="20"/>
          <w:color w:val="auto"/>
        </w:rPr>
      </w:pPr>
    </w:p>
    <w:p>
      <w:pPr>
        <w:jc w:val="both"/>
        <w:ind w:left="8" w:firstLine="543"/>
        <w:spacing w:after="0" w:line="259" w:lineRule="auto"/>
        <w:tabs>
          <w:tab w:leader="none" w:pos="957" w:val="left"/>
        </w:tabs>
        <w:numPr>
          <w:ilvl w:val="1"/>
          <w:numId w:val="1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all information, not generally known within the relevant trade group or by the public, including all Work Product (as defined below), intellectual property, business plans, training materials, software programs, promotional materials, illustrations, designs, plans, data bases, sources of supply, customer lists, supplier lists, trade secrets, and all other valuable or unique information and techniques acquired, developed or used by the Company relating to its business, operations, suppliers, information systems, employees and customers, regardless of whether such information is in writing, on computer disk or disk drive or in any other form. Employee expressly acknowledges and agrees that Confidential Information constitutes trade secrets and/or confidential and proprietary business information of the Company (or its subsidiary, or its customers or suppliers, as the case may be). Confidential Information shall not include information which is or becomes generally available to the public other than through disclosure by Employee or by any other person or entity under a duty or obligation to maintain the confidentiality thereof.</w:t>
      </w:r>
    </w:p>
    <w:p>
      <w:pPr>
        <w:spacing w:after="0" w:line="163" w:lineRule="exact"/>
        <w:rPr>
          <w:rFonts w:ascii="Times New Roman" w:cs="Times New Roman" w:eastAsia="Times New Roman" w:hAnsi="Times New Roman"/>
          <w:sz w:val="18"/>
          <w:szCs w:val="18"/>
          <w:u w:val="single" w:color="auto"/>
          <w:color w:val="auto"/>
        </w:rPr>
      </w:pPr>
    </w:p>
    <w:p>
      <w:pPr>
        <w:jc w:val="both"/>
        <w:ind w:left="8" w:firstLine="542"/>
        <w:spacing w:after="0" w:line="257" w:lineRule="auto"/>
        <w:tabs>
          <w:tab w:leader="none" w:pos="1107" w:val="left"/>
        </w:tabs>
        <w:numPr>
          <w:ilvl w:val="1"/>
          <w:numId w:val="1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Improper Use of Information of Prior Employers and Others</w:t>
      </w:r>
      <w:r>
        <w:rPr>
          <w:rFonts w:ascii="Times New Roman" w:cs="Times New Roman" w:eastAsia="Times New Roman" w:hAnsi="Times New Roman"/>
          <w:sz w:val="18"/>
          <w:szCs w:val="18"/>
          <w:color w:val="auto"/>
        </w:rPr>
        <w:t>. During the Employment, Employee shall not improperly use or disclose any confidential information or trade secrets, if any, of any former employer or any other person to whom Employee has an obligation of confidentiality, and Employee will not bring onto the premises, or make available to any employees of the Company, any unpublished documents or any property belonging to any former employer or any other person to whom Employee has an obligation of confidentiality unless consented to in writing by the former employer or person. In the performance of Employee’s duties for the Company, Employee will only use information which is</w:t>
      </w:r>
    </w:p>
    <w:p>
      <w:pPr>
        <w:spacing w:after="0" w:line="4" w:lineRule="exact"/>
        <w:rPr>
          <w:rFonts w:ascii="Times New Roman" w:cs="Times New Roman" w:eastAsia="Times New Roman" w:hAnsi="Times New Roman"/>
          <w:sz w:val="18"/>
          <w:szCs w:val="18"/>
          <w:u w:val="single" w:color="auto"/>
          <w:color w:val="auto"/>
        </w:rPr>
      </w:pPr>
    </w:p>
    <w:p>
      <w:pPr>
        <w:jc w:val="both"/>
        <w:ind w:left="8" w:hanging="8"/>
        <w:spacing w:after="0" w:line="261" w:lineRule="auto"/>
        <w:tabs>
          <w:tab w:leader="none" w:pos="23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known and used by persons and expertise comparable to that of Employee, (ii) common knowledge in the industry or otherwise legally in the public domain, or (iii) otherwise provided or developed by the Company. Employee acknowledges that the Company has expressly informed Employee that the Company does not want any access, privilege, benefit or knowledge of such confidential or proprietary information of others. Employee represents and warrants that to Employee’s knowledge Employee has no</w:t>
      </w:r>
    </w:p>
    <w:p>
      <w:pPr>
        <w:sectPr>
          <w:pgSz w:w="11900" w:h="16838" w:orient="portrait"/>
          <w:cols w:equalWidth="0" w:num="1">
            <w:col w:w="10988"/>
          </w:cols>
          <w:pgMar w:left="312" w:top="1410" w:right="599" w:bottom="1440" w:gutter="0" w:footer="0" w:header="0"/>
        </w:sectPr>
      </w:pPr>
    </w:p>
    <w:bookmarkStart w:id="202" w:name="page203"/>
    <w:bookmarkEnd w:id="202"/>
    <w:p>
      <w:pPr>
        <w:spacing w:after="0" w:line="290" w:lineRule="auto"/>
        <w:rPr>
          <w:sz w:val="20"/>
          <w:szCs w:val="20"/>
          <w:color w:val="auto"/>
        </w:rPr>
      </w:pPr>
      <w:r>
        <w:rPr>
          <w:rFonts w:ascii="Times New Roman" w:cs="Times New Roman" w:eastAsia="Times New Roman" w:hAnsi="Times New Roman"/>
          <w:sz w:val="18"/>
          <w:szCs w:val="18"/>
          <w:color w:val="auto"/>
        </w:rPr>
        <w:t>obligations, legal, in contract, or otherwise, inconsistent with the terms of this Agreement or with Employee’s undertaking Employment with the Company to perform the duties described herein.</w:t>
      </w:r>
    </w:p>
    <w:p>
      <w:pPr>
        <w:spacing w:after="0" w:line="131" w:lineRule="exact"/>
        <w:rPr>
          <w:sz w:val="20"/>
          <w:szCs w:val="20"/>
          <w:color w:val="auto"/>
        </w:rPr>
      </w:pPr>
    </w:p>
    <w:p>
      <w:pPr>
        <w:ind w:firstLine="542"/>
        <w:spacing w:after="0" w:line="290" w:lineRule="auto"/>
        <w:tabs>
          <w:tab w:leader="none" w:pos="1017" w:val="left"/>
        </w:tabs>
        <w:numPr>
          <w:ilvl w:val="0"/>
          <w:numId w:val="1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Penalties for Violation of Non-Disclosure Policy</w:t>
      </w:r>
      <w:r>
        <w:rPr>
          <w:rFonts w:ascii="Times New Roman" w:cs="Times New Roman" w:eastAsia="Times New Roman" w:hAnsi="Times New Roman"/>
          <w:sz w:val="18"/>
          <w:szCs w:val="18"/>
          <w:color w:val="auto"/>
        </w:rPr>
        <w:t>. In addition to the legal and equitable remedies set forth herein by applicable law, Employee understands that violation of any non-disclosure provision of this Agreement shall be subject to discipline, up to and including discharge.</w:t>
      </w:r>
    </w:p>
    <w:p>
      <w:pPr>
        <w:spacing w:after="0" w:line="116" w:lineRule="exact"/>
        <w:rPr>
          <w:sz w:val="20"/>
          <w:szCs w:val="20"/>
          <w:color w:val="auto"/>
        </w:rPr>
      </w:pPr>
    </w:p>
    <w:p>
      <w:pPr>
        <w:jc w:val="both"/>
        <w:ind w:firstLine="55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Assignment of Work Product. </w:t>
      </w:r>
      <w:r>
        <w:rPr>
          <w:rFonts w:ascii="Times New Roman" w:cs="Times New Roman" w:eastAsia="Times New Roman" w:hAnsi="Times New Roman"/>
          <w:sz w:val="18"/>
          <w:szCs w:val="18"/>
          <w:color w:val="auto"/>
        </w:rPr>
        <w:t>Any information or innovations, including, but not limited to, inventions, improvements, methods,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programs, customer lists, reports, distribution records, brochures, instructions, manuals, processes, etc., which are, during the course of the Employment, conceived, developed, or improved upon by Employee for use by the Company or any of its subsidiaries, alone or in conjunction with other employees or consultants (collectively, the “</w:t>
      </w:r>
      <w:r>
        <w:rPr>
          <w:rFonts w:ascii="Times New Roman" w:cs="Times New Roman" w:eastAsia="Times New Roman" w:hAnsi="Times New Roman"/>
          <w:sz w:val="18"/>
          <w:szCs w:val="18"/>
          <w:b w:val="1"/>
          <w:bCs w:val="1"/>
          <w:i w:val="1"/>
          <w:iCs w:val="1"/>
          <w:color w:val="auto"/>
        </w:rPr>
        <w:t>Work Product</w:t>
      </w:r>
      <w:r>
        <w:rPr>
          <w:rFonts w:ascii="Times New Roman" w:cs="Times New Roman" w:eastAsia="Times New Roman" w:hAnsi="Times New Roman"/>
          <w:sz w:val="18"/>
          <w:szCs w:val="18"/>
          <w:color w:val="auto"/>
        </w:rPr>
        <w:t>”), shall be the exclusive property of the Company, and during the Employment and at all times thereafter, Employee shall not use, duplicate, reveal or take with Employee any such Work Product or other materials of the Company, other than in furtherance of the performance of his duties to the Company, whether under this Agreement or otherwise. To the extent that any of the Work Product is capable of protection by copyright as a “work made for hire” pursuant to the United States Copyright Act, Employee acknowledges that such Work Product is created within the scope of his Employment and, as such, is property of the Company. To the extent that any such Work Product, whether protected by copyright or otherwise, is not a “work made for hire,” Employee hereby assigns to the Company all rights in such material. Employee hereby agrees to execute any documents at any time reasonably required by the Company in connection with the registration of copyright, patent application or other perfection of the Company’s ownership of the Work Product.</w:t>
      </w:r>
    </w:p>
    <w:p>
      <w:pPr>
        <w:spacing w:after="0" w:line="149"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3.3</w:t>
        <w:tab/>
        <w:t>Covenant Not to Compete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1093"/>
        <w:spacing w:after="0" w:line="262" w:lineRule="auto"/>
        <w:tabs>
          <w:tab w:leader="none" w:pos="165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Relationships and Goodwill</w:t>
      </w:r>
      <w:r>
        <w:rPr>
          <w:rFonts w:ascii="Times New Roman" w:cs="Times New Roman" w:eastAsia="Times New Roman" w:hAnsi="Times New Roman"/>
          <w:sz w:val="18"/>
          <w:szCs w:val="18"/>
          <w:color w:val="auto"/>
        </w:rPr>
        <w:t>. Employee acknowledges and agrees that as an employee and representative of the Company, Employee is responsible for building and maintaining business relationships and goodwill with current and future physicians, customers, payors, patients and prospects on a personal level. Employee acknowledges and agrees that such responsibility creates a special relationship of trust and confidence between the Company, Employee, and those persons or entities. Employee further acknowledges that such responsibility creates a high risk and opportunity for Employee to misappropriate these relationships and the goodwill existing between the Company and such persons. Employee acknowledges and agrees that it is fair and reasonable for the Company to take steps to protect itself from the risk of such misappropriation.</w:t>
      </w:r>
    </w:p>
    <w:p>
      <w:pPr>
        <w:spacing w:after="0" w:line="378" w:lineRule="exact"/>
        <w:rPr>
          <w:rFonts w:ascii="Times New Roman" w:cs="Times New Roman" w:eastAsia="Times New Roman" w:hAnsi="Times New Roman"/>
          <w:sz w:val="18"/>
          <w:szCs w:val="18"/>
          <w:color w:val="auto"/>
        </w:rPr>
      </w:pPr>
    </w:p>
    <w:p>
      <w:pPr>
        <w:jc w:val="both"/>
        <w:ind w:firstLine="1093"/>
        <w:spacing w:after="0" w:line="271" w:lineRule="auto"/>
        <w:tabs>
          <w:tab w:leader="none" w:pos="164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Employee acknowledges and agrees that in exchange for its agreement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below, Employee will receive substantial and valuable consideration from the Company including, but not limited to (i) Confidential Information (defined below), (ii) compensation and other benefits, and (iii) exposure to the Company’s physicians, payors, customers, patients, and prospects.</w:t>
      </w:r>
    </w:p>
    <w:p>
      <w:pPr>
        <w:sectPr>
          <w:pgSz w:w="11900" w:h="16838" w:orient="portrait"/>
          <w:cols w:equalWidth="0" w:num="1">
            <w:col w:w="10980"/>
          </w:cols>
          <w:pgMar w:left="320" w:top="1414" w:right="599" w:bottom="1440" w:gutter="0" w:footer="0" w:header="0"/>
        </w:sectPr>
      </w:pPr>
    </w:p>
    <w:bookmarkStart w:id="203" w:name="page204"/>
    <w:bookmarkEnd w:id="203"/>
    <w:p>
      <w:pPr>
        <w:jc w:val="both"/>
        <w:ind w:firstLine="1102"/>
        <w:spacing w:after="0" w:line="261" w:lineRule="auto"/>
        <w:rPr>
          <w:sz w:val="20"/>
          <w:szCs w:val="20"/>
          <w:color w:val="auto"/>
        </w:rPr>
      </w:pPr>
      <w:r>
        <w:rPr>
          <w:rFonts w:ascii="Times New Roman" w:cs="Times New Roman" w:eastAsia="Times New Roman" w:hAnsi="Times New Roman"/>
          <w:sz w:val="18"/>
          <w:szCs w:val="18"/>
          <w:u w:val="single" w:color="auto"/>
          <w:color w:val="auto"/>
        </w:rPr>
        <w:t>(c ) Scope of Noncompetition Obligation</w:t>
      </w:r>
      <w:r>
        <w:rPr>
          <w:rFonts w:ascii="Times New Roman" w:cs="Times New Roman" w:eastAsia="Times New Roman" w:hAnsi="Times New Roman"/>
          <w:sz w:val="18"/>
          <w:szCs w:val="18"/>
          <w:color w:val="auto"/>
        </w:rPr>
        <w:t xml:space="preserve">. During the Employment, and for a period of one (1) year after the termination of the Employment for any reason, Employee shall not, directly or indirectly, either acting alone, or as a stockholder, partner, associate, creditor, consultant, adviser, franchiser, franchisee, director, officer, owner, employee or agent of any other person or entity, or in any other capacity, engage in or provide services similar in purpose or function to those Employee provided to Company to any company engaged in the Same Business (as defined below) in the Territory (as defined below); provided, however, the restriction contained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prohibit Employee from owning (i) not more than 1% of the outstanding stock of any class of any publicly traded corporation, (ii) any mutual fund, exchange-traded fund, or a passive interest in a venture capital fund, private equity fund or similar investment vehicle, in each case so long as Employee does not actively participate in the management of the business of such corporation, mutual fund, exchange-traded fund, venture capital fund, private equity fund or similar investment vehicle. For purposes of this section:</w:t>
      </w:r>
    </w:p>
    <w:p>
      <w:pPr>
        <w:spacing w:after="0" w:line="14" w:lineRule="exact"/>
        <w:rPr>
          <w:sz w:val="20"/>
          <w:szCs w:val="20"/>
          <w:color w:val="auto"/>
        </w:rPr>
      </w:pPr>
    </w:p>
    <w:p>
      <w:pPr>
        <w:ind w:left="2180" w:hanging="535"/>
        <w:spacing w:after="0"/>
        <w:tabs>
          <w:tab w:leader="none" w:pos="21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Same Business</w:t>
      </w:r>
      <w:r>
        <w:rPr>
          <w:rFonts w:ascii="Times New Roman" w:cs="Times New Roman" w:eastAsia="Times New Roman" w:hAnsi="Times New Roman"/>
          <w:sz w:val="18"/>
          <w:szCs w:val="18"/>
          <w:color w:val="auto"/>
        </w:rPr>
        <w:t>” shall mean any company that engages or proposes to engage in the Business; and</w:t>
      </w:r>
    </w:p>
    <w:p>
      <w:pPr>
        <w:spacing w:after="0" w:line="194" w:lineRule="exact"/>
        <w:rPr>
          <w:rFonts w:ascii="Times New Roman" w:cs="Times New Roman" w:eastAsia="Times New Roman" w:hAnsi="Times New Roman"/>
          <w:sz w:val="18"/>
          <w:szCs w:val="18"/>
          <w:color w:val="auto"/>
        </w:rPr>
      </w:pPr>
    </w:p>
    <w:p>
      <w:pPr>
        <w:jc w:val="both"/>
        <w:ind w:left="1100" w:firstLine="545"/>
        <w:spacing w:after="0" w:line="262" w:lineRule="auto"/>
        <w:tabs>
          <w:tab w:leader="none" w:pos="219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shall be defined as all geographic area(s) where Employee performed services, and all geographic areas that Employee managed and/or supervised (either directly or indirectly). If Employee is in a position where Employee’s responsibilities are not geographically limited to an assigned location or territory or where Employee is provided Confidential Information that is not geographically limited to an assigned location or territory (such as, by way of example but not limitation, management positions, research and developers, and engineers), then Territory means every state where Company does business and/or did business during the term of Employee’s Employment, and all places where the Company had plans or reasonable expectations to do business in the future.</w:t>
      </w:r>
    </w:p>
    <w:p>
      <w:pPr>
        <w:spacing w:after="0" w:line="156" w:lineRule="exact"/>
        <w:rPr>
          <w:sz w:val="20"/>
          <w:szCs w:val="20"/>
          <w:color w:val="auto"/>
        </w:rPr>
      </w:pPr>
    </w:p>
    <w:p>
      <w:pPr>
        <w:jc w:val="both"/>
        <w:ind w:firstLine="542"/>
        <w:spacing w:after="0" w:line="271" w:lineRule="auto"/>
        <w:tabs>
          <w:tab w:leader="none" w:pos="845" w:val="left"/>
        </w:tabs>
        <w:numPr>
          <w:ilvl w:val="0"/>
          <w:numId w:val="1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Prohibition on Working</w:t>
      </w:r>
      <w:r>
        <w:rPr>
          <w:rFonts w:ascii="Times New Roman" w:cs="Times New Roman" w:eastAsia="Times New Roman" w:hAnsi="Times New Roman"/>
          <w:sz w:val="18"/>
          <w:szCs w:val="18"/>
          <w:color w:val="auto"/>
        </w:rPr>
        <w:t>. Employee acknowledges and agrees that this Agreement does not restrict Employee’s ability to find employment within any geographical area after the termination of the Employment; provided that Employee is not employed in violation of the noncompetition obligations detailed herein.</w:t>
      </w:r>
    </w:p>
    <w:p>
      <w:pPr>
        <w:spacing w:after="0" w:line="133" w:lineRule="exact"/>
        <w:rPr>
          <w:sz w:val="20"/>
          <w:szCs w:val="20"/>
          <w:color w:val="auto"/>
        </w:rPr>
      </w:pPr>
    </w:p>
    <w:p>
      <w:pPr>
        <w:jc w:val="both"/>
        <w:ind w:firstLine="551"/>
        <w:spacing w:after="0" w:line="262" w:lineRule="auto"/>
        <w:rPr>
          <w:sz w:val="20"/>
          <w:szCs w:val="20"/>
          <w:color w:val="auto"/>
        </w:rPr>
      </w:pPr>
      <w:r>
        <w:rPr>
          <w:rFonts w:ascii="Times New Roman" w:cs="Times New Roman" w:eastAsia="Times New Roman" w:hAnsi="Times New Roman"/>
          <w:sz w:val="18"/>
          <w:szCs w:val="18"/>
          <w:b w:val="1"/>
          <w:bCs w:val="1"/>
          <w:color w:val="auto"/>
        </w:rPr>
        <w:t>3.4 Nonsolicitation of Customers</w:t>
      </w:r>
      <w:r>
        <w:rPr>
          <w:rFonts w:ascii="Times New Roman" w:cs="Times New Roman" w:eastAsia="Times New Roman" w:hAnsi="Times New Roman"/>
          <w:sz w:val="18"/>
          <w:szCs w:val="18"/>
          <w:color w:val="auto"/>
        </w:rPr>
        <w:t>. Employee agrees that Employee shall not at any time during the Employment, whether or not initiated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Employee, divert away or attempt to divert away any business from the Company to another company, business, or individual. Further, Employee shall not, for a period of one (1) year following the termination of the Employment for any reason, contact, solicit, attempt to solicit or divert, or attempt to divert business from, either directly or indirectly, any Company Customer which Employee called upon, came into contact with, or became aware of, as a result of Employee’s Employment with Company during the last twelve (12) months Employee’s Employment with Company. “</w:t>
      </w:r>
      <w:r>
        <w:rPr>
          <w:rFonts w:ascii="Times New Roman" w:cs="Times New Roman" w:eastAsia="Times New Roman" w:hAnsi="Times New Roman"/>
          <w:sz w:val="18"/>
          <w:szCs w:val="18"/>
          <w:b w:val="1"/>
          <w:bCs w:val="1"/>
          <w:i w:val="1"/>
          <w:iCs w:val="1"/>
          <w:color w:val="auto"/>
        </w:rPr>
        <w:t>Company Customer</w:t>
      </w:r>
      <w:r>
        <w:rPr>
          <w:rFonts w:ascii="Times New Roman" w:cs="Times New Roman" w:eastAsia="Times New Roman" w:hAnsi="Times New Roman"/>
          <w:sz w:val="18"/>
          <w:szCs w:val="18"/>
          <w:color w:val="auto"/>
        </w:rPr>
        <w:t>” means any person, company, or business that is or was a customer or prospective customer of Company, including but not limited to physicians, payors or other customers.</w:t>
      </w:r>
    </w:p>
    <w:p>
      <w:pPr>
        <w:sectPr>
          <w:pgSz w:w="11900" w:h="16838" w:orient="portrait"/>
          <w:cols w:equalWidth="0" w:num="1">
            <w:col w:w="10980"/>
          </w:cols>
          <w:pgMar w:left="320" w:top="1414" w:right="599" w:bottom="1440" w:gutter="0" w:footer="0" w:header="0"/>
        </w:sectPr>
      </w:pPr>
    </w:p>
    <w:bookmarkStart w:id="204" w:name="page205"/>
    <w:bookmarkEnd w:id="204"/>
    <w:p>
      <w:pPr>
        <w:jc w:val="both"/>
        <w:ind w:right="280" w:firstLine="551"/>
        <w:spacing w:after="0" w:line="264" w:lineRule="auto"/>
        <w:rPr>
          <w:sz w:val="20"/>
          <w:szCs w:val="20"/>
          <w:color w:val="auto"/>
        </w:rPr>
      </w:pPr>
      <w:r>
        <w:rPr>
          <w:rFonts w:ascii="Times New Roman" w:cs="Times New Roman" w:eastAsia="Times New Roman" w:hAnsi="Times New Roman"/>
          <w:sz w:val="18"/>
          <w:szCs w:val="18"/>
          <w:b w:val="1"/>
          <w:bCs w:val="1"/>
          <w:color w:val="auto"/>
        </w:rPr>
        <w:t>3.5 Nonrecruitment of Employees</w:t>
      </w:r>
      <w:r>
        <w:rPr>
          <w:rFonts w:ascii="Times New Roman" w:cs="Times New Roman" w:eastAsia="Times New Roman" w:hAnsi="Times New Roman"/>
          <w:sz w:val="18"/>
          <w:szCs w:val="18"/>
          <w:color w:val="auto"/>
        </w:rPr>
        <w:t>. Employee agrees that during the Employment and for a period of one (1) year after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for any reason, Employee shall not, on Employee’s own behalf or on behalf of any other person or entity, hire, solicit, seek to hire, or offer employment to any person who was employed by the Company on the date of termination of the Employment, or who is a current employee of the Company. Employee further agrees that Employee will not, in any other manner attempt, directly or indirectly, to influence, induce, or encourage any person who was employed by the Company on the date of termination of the Employment or who is a current or prospective employee of the Company to leave the employment of the Company.</w:t>
      </w:r>
    </w:p>
    <w:p>
      <w:pPr>
        <w:spacing w:after="0" w:line="115" w:lineRule="exact"/>
        <w:rPr>
          <w:sz w:val="20"/>
          <w:szCs w:val="20"/>
          <w:color w:val="auto"/>
        </w:rPr>
      </w:pPr>
    </w:p>
    <w:p>
      <w:pPr>
        <w:jc w:val="both"/>
        <w:ind w:firstLine="550"/>
        <w:spacing w:after="0" w:line="221" w:lineRule="auto"/>
        <w:rPr>
          <w:sz w:val="20"/>
          <w:szCs w:val="20"/>
          <w:color w:val="auto"/>
        </w:rPr>
      </w:pPr>
      <w:r>
        <w:rPr>
          <w:rFonts w:ascii="Times New Roman" w:cs="Times New Roman" w:eastAsia="Times New Roman" w:hAnsi="Times New Roman"/>
          <w:sz w:val="18"/>
          <w:szCs w:val="18"/>
          <w:b w:val="1"/>
          <w:bCs w:val="1"/>
          <w:color w:val="auto"/>
        </w:rPr>
        <w:t>3.6 Non-Interference with Business Relations</w:t>
      </w:r>
      <w:r>
        <w:rPr>
          <w:rFonts w:ascii="Times New Roman" w:cs="Times New Roman" w:eastAsia="Times New Roman" w:hAnsi="Times New Roman"/>
          <w:sz w:val="18"/>
          <w:szCs w:val="18"/>
          <w:color w:val="auto"/>
        </w:rPr>
        <w:t>. Employee agrees that during the Employment, and for a period of two (2) years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the Employment for any reason, Employee shall not, directly or indirectly, (a) solicit, advise, persuade or otherwise induce any person to participate in or with any entity or person which provides services comparable to those provided by the Company or by facilities managed or owned by the Company or any of its subsidiaries, (b) do anything, intentionally or recklessly, to discredit or otherwise injure the reputation or goodwill of the Company or any of its affiliates or subsidiaries, (c) solicit, induce or attempt to solicit or induce any customer, employee, independent contractor, distributor, manufacturer or other professional or any other business relation of the Company (or any subsidiary) to cease or reduce the level of business between such business relation and the Company (or any subsidiary), or (d) in any way interfere with the Company’s (or any subsidiary’s) relationship with any customer, employee, independent contractor, distributor, manufacturer or other professional or business relation of the Company or subsidiary.</w:t>
      </w:r>
    </w:p>
    <w:p>
      <w:pPr>
        <w:spacing w:after="0" w:line="152" w:lineRule="exact"/>
        <w:rPr>
          <w:sz w:val="20"/>
          <w:szCs w:val="20"/>
          <w:color w:val="auto"/>
        </w:rPr>
      </w:pPr>
    </w:p>
    <w:p>
      <w:pPr>
        <w:jc w:val="both"/>
        <w:ind w:right="280" w:firstLine="551"/>
        <w:spacing w:after="0" w:line="271" w:lineRule="auto"/>
        <w:rPr>
          <w:sz w:val="20"/>
          <w:szCs w:val="20"/>
          <w:color w:val="auto"/>
        </w:rPr>
      </w:pPr>
      <w:r>
        <w:rPr>
          <w:rFonts w:ascii="Times New Roman" w:cs="Times New Roman" w:eastAsia="Times New Roman" w:hAnsi="Times New Roman"/>
          <w:sz w:val="18"/>
          <w:szCs w:val="18"/>
          <w:b w:val="1"/>
          <w:bCs w:val="1"/>
          <w:color w:val="auto"/>
        </w:rPr>
        <w:t>3.7 Exceptions from ARTICLE III</w:t>
      </w:r>
      <w:r>
        <w:rPr>
          <w:rFonts w:ascii="Times New Roman" w:cs="Times New Roman" w:eastAsia="Times New Roman" w:hAnsi="Times New Roman"/>
          <w:sz w:val="18"/>
          <w:szCs w:val="18"/>
          <w:color w:val="auto"/>
        </w:rPr>
        <w:t>. Notwithstanding anything to the contrary in this Agreement, including Article III,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Employee and the Company, the Company agrees following the termination of the Employment for any reason, there will be no restriction on Employee’s ability to perform services or serve as an employee, counsel, partner, owner, advisor, or any other position for a law firm (the “</w:t>
      </w:r>
      <w:r>
        <w:rPr>
          <w:rFonts w:ascii="Times New Roman" w:cs="Times New Roman" w:eastAsia="Times New Roman" w:hAnsi="Times New Roman"/>
          <w:sz w:val="18"/>
          <w:szCs w:val="18"/>
          <w:b w:val="1"/>
          <w:bCs w:val="1"/>
          <w:i w:val="1"/>
          <w:iCs w:val="1"/>
          <w:color w:val="auto"/>
        </w:rPr>
        <w:t>Law Firm Services</w:t>
      </w:r>
      <w:r>
        <w:rPr>
          <w:rFonts w:ascii="Times New Roman" w:cs="Times New Roman" w:eastAsia="Times New Roman" w:hAnsi="Times New Roman"/>
          <w:sz w:val="18"/>
          <w:szCs w:val="18"/>
          <w:color w:val="auto"/>
        </w:rPr>
        <w:t>”), and the restrictions set forth in this Article III will not apply to Law Firm Services.</w:t>
      </w:r>
    </w:p>
    <w:p>
      <w:pPr>
        <w:spacing w:after="0" w:line="133" w:lineRule="exact"/>
        <w:rPr>
          <w:sz w:val="20"/>
          <w:szCs w:val="20"/>
          <w:color w:val="auto"/>
        </w:rPr>
      </w:pPr>
    </w:p>
    <w:p>
      <w:pPr>
        <w:jc w:val="both"/>
        <w:ind w:right="280" w:firstLine="551"/>
        <w:spacing w:after="0" w:line="260" w:lineRule="auto"/>
        <w:rPr>
          <w:sz w:val="20"/>
          <w:szCs w:val="20"/>
          <w:color w:val="auto"/>
        </w:rPr>
      </w:pPr>
      <w:r>
        <w:rPr>
          <w:rFonts w:ascii="Times New Roman" w:cs="Times New Roman" w:eastAsia="Times New Roman" w:hAnsi="Times New Roman"/>
          <w:sz w:val="18"/>
          <w:szCs w:val="18"/>
          <w:b w:val="1"/>
          <w:bCs w:val="1"/>
          <w:color w:val="auto"/>
        </w:rPr>
        <w:t>3.7 Reasonableness of Restrictions</w:t>
      </w:r>
      <w:r>
        <w:rPr>
          <w:rFonts w:ascii="Times New Roman" w:cs="Times New Roman" w:eastAsia="Times New Roman" w:hAnsi="Times New Roman"/>
          <w:sz w:val="18"/>
          <w:szCs w:val="18"/>
          <w:color w:val="auto"/>
        </w:rPr>
        <w:t>. Employee acknowledges and agrees that, given the nature of the Business, and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Business plans, the restrictions imposed upon Employee by this ARTICLE III and the purposes for such restrictions are reasonable and are designed to protect the trade secrets, confidential and proprietary business information and the future success of the Company and its subsidiaries without unduly restricting Employee. Specifically, Employee acknowledges that the restrictions and covenants contained in this ARTICLE III will not prohibit Employee from pursuing Employee’s career upon termination of Employee’s employment relationship with the Company. If, at the time of enforcement of this Agreement, a court shall hold that any of the duration, scope or geographic restrictions stated herein are unreasonable under circumstances then existing, the Parties agree (and shall stipulate, if necessary, in an appropriate pleading) that the maximum duration, scope or geographic area reasonable under such circumstances shall be substituted for the stated duration, scope or geographic area. Employee further agrees not to challenge the enforceability or the enforcement of the restrictive covenants in this ARTICLE III. Employee specifically recognizes and affirms that</w:t>
      </w:r>
    </w:p>
    <w:p>
      <w:pPr>
        <w:sectPr>
          <w:pgSz w:w="11900" w:h="16838" w:orient="portrait"/>
          <w:cols w:equalWidth="0" w:num="1">
            <w:col w:w="11260"/>
          </w:cols>
          <w:pgMar w:left="320" w:top="1410" w:right="319" w:bottom="1440" w:gutter="0" w:footer="0" w:header="0"/>
        </w:sectPr>
      </w:pPr>
    </w:p>
    <w:bookmarkStart w:id="205" w:name="page206"/>
    <w:bookmarkEnd w:id="205"/>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restrictive covenants contained in this ARTICLE III are material and important terms of this Agreement, and Employee further agrees that should all or any part or application of any provision of this ARTICLE III be held or found invalid or unenforceable for any reason whatsoever by a court of competent jurisdiction in an action, or by an arbitrator in an arbitration, the Company shall be entitled to receive from employee all stock options and Company stock held by Employee obtained as result of the stock options being granted to Employee on the date hereof. If Employee has sold, transferred, or otherwise disposed of company stock obtained through the exercise of such stock options, the Company shall be entitled to receive from Employee the difference between the option price paid by Employee and the fair market value of such Company stock on the date of sale, transfer, or other disposition.</w:t>
      </w:r>
    </w:p>
    <w:p>
      <w:pPr>
        <w:spacing w:after="0" w:line="154" w:lineRule="exact"/>
        <w:rPr>
          <w:sz w:val="20"/>
          <w:szCs w:val="20"/>
          <w:color w:val="auto"/>
        </w:rPr>
      </w:pPr>
    </w:p>
    <w:p>
      <w:pPr>
        <w:jc w:val="both"/>
        <w:ind w:right="280"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3.8 Exit Interview</w:t>
      </w:r>
      <w:r>
        <w:rPr>
          <w:rFonts w:ascii="Times New Roman" w:cs="Times New Roman" w:eastAsia="Times New Roman" w:hAnsi="Times New Roman"/>
          <w:sz w:val="18"/>
          <w:szCs w:val="18"/>
          <w:color w:val="auto"/>
        </w:rPr>
        <w:t>. Employee agrees to schedule and attend an exit interview with Company’s Human Resources department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last day of Employment.</w:t>
      </w:r>
    </w:p>
    <w:p>
      <w:pPr>
        <w:spacing w:after="0" w:line="88" w:lineRule="exact"/>
        <w:rPr>
          <w:sz w:val="20"/>
          <w:szCs w:val="20"/>
          <w:color w:val="auto"/>
        </w:rPr>
      </w:pPr>
    </w:p>
    <w:p>
      <w:pPr>
        <w:jc w:val="both"/>
        <w:ind w:firstLine="550"/>
        <w:spacing w:after="0" w:line="230" w:lineRule="auto"/>
        <w:rPr>
          <w:sz w:val="20"/>
          <w:szCs w:val="20"/>
          <w:color w:val="auto"/>
        </w:rPr>
      </w:pPr>
      <w:r>
        <w:rPr>
          <w:rFonts w:ascii="Times New Roman" w:cs="Times New Roman" w:eastAsia="Times New Roman" w:hAnsi="Times New Roman"/>
          <w:sz w:val="18"/>
          <w:szCs w:val="18"/>
          <w:b w:val="1"/>
          <w:bCs w:val="1"/>
          <w:color w:val="auto"/>
        </w:rPr>
        <w:t>3.9 Return of the Company Property</w:t>
      </w:r>
      <w:r>
        <w:rPr>
          <w:rFonts w:ascii="Times New Roman" w:cs="Times New Roman" w:eastAsia="Times New Roman" w:hAnsi="Times New Roman"/>
          <w:sz w:val="18"/>
          <w:szCs w:val="18"/>
          <w:color w:val="auto"/>
        </w:rPr>
        <w:t>. When Employee’s Employment terminates for any reason, Employee will promptly (within seventy-two (72) hours) deliver to the Company any and all Confidential Information, drawings, notes, memoranda, specifications, devices, formulas and documents, together with all copies thereof and any other material containing or disclosing any works made for hire, or third-party information. Employee further agrees that any</w:t>
      </w:r>
    </w:p>
    <w:p>
      <w:pPr>
        <w:spacing w:after="0" w:line="26" w:lineRule="exact"/>
        <w:rPr>
          <w:sz w:val="20"/>
          <w:szCs w:val="20"/>
          <w:color w:val="auto"/>
        </w:rPr>
      </w:pPr>
    </w:p>
    <w:p>
      <w:pPr>
        <w:jc w:val="both"/>
        <w:ind w:right="280"/>
        <w:spacing w:after="0" w:line="291" w:lineRule="auto"/>
        <w:rPr>
          <w:sz w:val="20"/>
          <w:szCs w:val="20"/>
          <w:color w:val="auto"/>
        </w:rPr>
      </w:pPr>
      <w:r>
        <w:rPr>
          <w:rFonts w:ascii="Times New Roman" w:cs="Times New Roman" w:eastAsia="Times New Roman" w:hAnsi="Times New Roman"/>
          <w:sz w:val="18"/>
          <w:szCs w:val="18"/>
          <w:color w:val="auto"/>
        </w:rPr>
        <w:t>property situated on the Company’s premises and owned by the Company including computers, computer disks and computer hard disk drives and other computer storage media, filing cabinets or other work areas, is subject to inspection by the Company personnel at anytime with or without notice.</w:t>
      </w:r>
    </w:p>
    <w:p>
      <w:pPr>
        <w:spacing w:after="0" w:line="344" w:lineRule="exact"/>
        <w:rPr>
          <w:sz w:val="20"/>
          <w:szCs w:val="20"/>
          <w:color w:val="auto"/>
        </w:rPr>
      </w:pPr>
    </w:p>
    <w:p>
      <w:pPr>
        <w:jc w:val="both"/>
        <w:ind w:right="280" w:firstLine="551"/>
        <w:spacing w:after="0" w:line="264" w:lineRule="auto"/>
        <w:rPr>
          <w:sz w:val="20"/>
          <w:szCs w:val="20"/>
          <w:color w:val="auto"/>
        </w:rPr>
      </w:pPr>
      <w:r>
        <w:rPr>
          <w:rFonts w:ascii="Times New Roman" w:cs="Times New Roman" w:eastAsia="Times New Roman" w:hAnsi="Times New Roman"/>
          <w:sz w:val="18"/>
          <w:szCs w:val="18"/>
          <w:b w:val="1"/>
          <w:bCs w:val="1"/>
          <w:color w:val="auto"/>
        </w:rPr>
        <w:t>3.10 Notification of New Employer</w:t>
      </w:r>
      <w:r>
        <w:rPr>
          <w:rFonts w:ascii="Times New Roman" w:cs="Times New Roman" w:eastAsia="Times New Roman" w:hAnsi="Times New Roman"/>
          <w:sz w:val="18"/>
          <w:szCs w:val="18"/>
          <w:color w:val="auto"/>
        </w:rPr>
        <w:t>. In the event that the Employment is terminated for any reason, Employee hereby consents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by the Company to Employee’s new employer of Employee’s rights and obligations under this ARTICLE III. In addition, in the event that Employee plans to render services to a company that works in a similar field as the Company, Employee agrees to provide the Company with as much notice as possible of Employee’s intention to join that company or business but in no event will Employee provide less than two weeks notice of that intention; provided, however, the provision of such notice and the Company’s receipt thereof shall not constitute a waiver of any breach of any provision of this Agreement.</w:t>
      </w:r>
    </w:p>
    <w:p>
      <w:pPr>
        <w:spacing w:after="0" w:line="115" w:lineRule="exact"/>
        <w:rPr>
          <w:sz w:val="20"/>
          <w:szCs w:val="20"/>
          <w:color w:val="auto"/>
        </w:rPr>
      </w:pPr>
    </w:p>
    <w:p>
      <w:pPr>
        <w:jc w:val="both"/>
        <w:ind w:firstLine="550"/>
        <w:spacing w:after="0"/>
        <w:rPr>
          <w:sz w:val="20"/>
          <w:szCs w:val="20"/>
          <w:color w:val="auto"/>
        </w:rPr>
      </w:pPr>
      <w:r>
        <w:rPr>
          <w:rFonts w:ascii="Times New Roman" w:cs="Times New Roman" w:eastAsia="Times New Roman" w:hAnsi="Times New Roman"/>
          <w:sz w:val="18"/>
          <w:szCs w:val="18"/>
          <w:b w:val="1"/>
          <w:bCs w:val="1"/>
          <w:color w:val="auto"/>
        </w:rPr>
        <w:t>3.11 Equitable and Other Relief</w:t>
      </w:r>
      <w:r>
        <w:rPr>
          <w:rFonts w:ascii="Times New Roman" w:cs="Times New Roman" w:eastAsia="Times New Roman" w:hAnsi="Times New Roman"/>
          <w:sz w:val="18"/>
          <w:szCs w:val="18"/>
          <w:color w:val="auto"/>
        </w:rPr>
        <w:t>. Employee understands and agrees that, in the event Employee breaches this ARTICLE III,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suffer immediate and irreparable harm that cannot be accurately calculated in monetary damages. Consequently, Employee acknowledges and agrees that the Company shall be entitled to immediate injunctive relief, either by temporary or permanent injunction, to prevent such violation. Employee acknowledges and agrees that such injunctive relief shall be in addition to any other legal or equitable relief to which the Company would be entitled. In addition, the Company shall be entitled to recover its attorneys’ fees and costs from Employee should the Company be required to file suit to enforce its rights under this ARTICLE III, if the Company prevails in such suit. In the event that Employee is found to have breached all or any part or application of any provision of this ARTICLE III by a court of competent jurisdiction in an action, or by an arbitrator in an arbitration, Employee further agrees that the Company shall be entitled to receive from Employee all stock options and Company stock held by Employee obtained as result of the stock</w:t>
      </w:r>
    </w:p>
    <w:p>
      <w:pPr>
        <w:sectPr>
          <w:pgSz w:w="11900" w:h="16838" w:orient="portrait"/>
          <w:cols w:equalWidth="0" w:num="1">
            <w:col w:w="11260"/>
          </w:cols>
          <w:pgMar w:left="320" w:top="1414" w:right="319" w:bottom="1440" w:gutter="0" w:footer="0" w:header="0"/>
        </w:sectPr>
      </w:pPr>
    </w:p>
    <w:bookmarkStart w:id="206" w:name="page207"/>
    <w:bookmarkEnd w:id="206"/>
    <w:p>
      <w:pPr>
        <w:jc w:val="both"/>
        <w:spacing w:after="0" w:line="229" w:lineRule="auto"/>
        <w:rPr>
          <w:sz w:val="20"/>
          <w:szCs w:val="20"/>
          <w:color w:val="auto"/>
        </w:rPr>
      </w:pPr>
      <w:r>
        <w:rPr>
          <w:rFonts w:ascii="Times New Roman" w:cs="Times New Roman" w:eastAsia="Times New Roman" w:hAnsi="Times New Roman"/>
          <w:sz w:val="18"/>
          <w:szCs w:val="18"/>
          <w:color w:val="auto"/>
        </w:rPr>
        <w:t>options being granted to Employee on the Effective Date; provided that the Company agrees to pay Employee an amount equal to the exercise price of any such options. If Employee has sold, transferred, or otherwise disposed of Company stock obtained through the exercise of such stock options, the Company shall be entitled to receive from Employee the difference between the option price paid by Employee and the fair market value of the Company stock on the date of sale, transfer, or other disposition.</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59" w:lineRule="exact"/>
        <w:rPr>
          <w:sz w:val="20"/>
          <w:szCs w:val="20"/>
          <w:color w:val="auto"/>
        </w:rPr>
      </w:pPr>
    </w:p>
    <w:p>
      <w:pPr>
        <w:jc w:val="both"/>
        <w:ind w:right="280" w:firstLine="551"/>
        <w:spacing w:after="0" w:line="260" w:lineRule="auto"/>
        <w:rPr>
          <w:sz w:val="20"/>
          <w:szCs w:val="20"/>
          <w:color w:val="auto"/>
        </w:rPr>
      </w:pPr>
      <w:r>
        <w:rPr>
          <w:rFonts w:ascii="Times New Roman" w:cs="Times New Roman" w:eastAsia="Times New Roman" w:hAnsi="Times New Roman"/>
          <w:sz w:val="18"/>
          <w:szCs w:val="18"/>
          <w:b w:val="1"/>
          <w:bCs w:val="1"/>
          <w:color w:val="auto"/>
        </w:rPr>
        <w:t>4.1 Upon Death or Disability</w:t>
      </w:r>
      <w:r>
        <w:rPr>
          <w:rFonts w:ascii="Times New Roman" w:cs="Times New Roman" w:eastAsia="Times New Roman" w:hAnsi="Times New Roman"/>
          <w:sz w:val="18"/>
          <w:szCs w:val="18"/>
          <w:color w:val="auto"/>
        </w:rPr>
        <w:t>. This Agreement shall terminate upon the Employee’s death or Disability. For purposes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xml:space="preserve">” shall mean physical or mental disability of the Employee resulting in the Employee’s inability to perform substantially all of the essential functions of the Employee’s duties and responsibilities with the Company for (i) a period of twelve (12) consecutive weeks, or (ii) for shorter periods aggregating twelve (12) weeks during any twelve-month period. If this Agreement terminates as a result of the Employee’s death or Disability, the Company’s obligation to the Employee or the Employee’s estate shall be limited to the payment of accrued and unpaid Annual Salary earned and any accrued and unpaid Benefits vested up to the date of termination, and in the event of Disability, any disability benefits to which the Employee is entitled hereunder. In addition, upon termination due to death or Disability, the Company shall pay the Employee or the Employee’s estate any annual bonus referred to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above that would otherwise be due for the fiscal year of termination, prorated to the number of days in the fiscal year for which the Employee was employed, and payable at the same time as the bonus would have otherwise been due had the Employee’s Employment not been terminated.</w:t>
      </w:r>
    </w:p>
    <w:p>
      <w:pPr>
        <w:spacing w:after="0" w:line="146" w:lineRule="exact"/>
        <w:rPr>
          <w:sz w:val="20"/>
          <w:szCs w:val="20"/>
          <w:color w:val="auto"/>
        </w:rPr>
      </w:pPr>
    </w:p>
    <w:p>
      <w:pPr>
        <w:jc w:val="both"/>
        <w:ind w:right="280" w:firstLine="551"/>
        <w:spacing w:after="0" w:line="259" w:lineRule="auto"/>
        <w:rPr>
          <w:sz w:val="20"/>
          <w:szCs w:val="20"/>
          <w:color w:val="auto"/>
        </w:rPr>
      </w:pPr>
      <w:r>
        <w:rPr>
          <w:rFonts w:ascii="Times New Roman" w:cs="Times New Roman" w:eastAsia="Times New Roman" w:hAnsi="Times New Roman"/>
          <w:sz w:val="18"/>
          <w:szCs w:val="18"/>
          <w:b w:val="1"/>
          <w:bCs w:val="1"/>
          <w:color w:val="auto"/>
        </w:rPr>
        <w:t>4.2 Termination for Cause or Voluntary Termination</w:t>
      </w:r>
      <w:r>
        <w:rPr>
          <w:rFonts w:ascii="Times New Roman" w:cs="Times New Roman" w:eastAsia="Times New Roman" w:hAnsi="Times New Roman"/>
          <w:sz w:val="18"/>
          <w:szCs w:val="18"/>
          <w:color w:val="auto"/>
        </w:rPr>
        <w:t>. If the Company terminates the Employee at any time for Cause or if the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the Employee’s Employment at any time other than for Good Reason, the Company’s obligation to the Employee shall be limited solely to the payment of accrued and unpaid Annual Salary and any accrued but unpaid Benefits vested up to the date of termination. Prior to any termination of the Employee for Cause, except for a failure, breach, or refusal which, by its nature, cannot reasonably be expected to be cured, the Company shall provide written notice to the Employee of the Cause, and Employee will have thirty (30) days from the delivery of written notice by the Company within which to cure any acts constituting Cause. As used in this Agreement, the term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any of the following: (i) the Employee’s commission of an act involving dishonesty, lack of loyalty or breach of fiduciary responsibility involving the Company or any affiliate or successor thereof, (ii) continued failure of the Employee to perform the Employee’s duties and responsibilities (iii) any material breach by the Employee of the terms of this Agreement, or (iv) the Employee’s commission, conviction of, or plea of guilty or nolo contendere to a misdemeanor which causes material injury to the business, reputation or financial condition of the Company, (v) the Employee’s commission, conviction of, or plea of guilty or nolo contendere to a crime that constitutes a felony, or (vi) Employee’s willful misconduct or gross negligence in the performance of Employee’s duties. As used in this Agreement, the term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w:t>
      </w:r>
    </w:p>
    <w:p>
      <w:pPr>
        <w:sectPr>
          <w:pgSz w:w="11900" w:h="16838" w:orient="portrait"/>
          <w:cols w:equalWidth="0" w:num="1">
            <w:col w:w="11260"/>
          </w:cols>
          <w:pgMar w:left="320" w:top="1391" w:right="319" w:bottom="1440" w:gutter="0" w:footer="0" w:header="0"/>
        </w:sectPr>
      </w:pPr>
    </w:p>
    <w:bookmarkStart w:id="207" w:name="page208"/>
    <w:bookmarkEnd w:id="207"/>
    <w:p>
      <w:pPr>
        <w:jc w:val="both"/>
        <w:ind w:right="280"/>
        <w:spacing w:after="0" w:line="267" w:lineRule="auto"/>
        <w:rPr>
          <w:sz w:val="20"/>
          <w:szCs w:val="20"/>
          <w:color w:val="auto"/>
        </w:rPr>
      </w:pPr>
      <w:r>
        <w:rPr>
          <w:rFonts w:ascii="Times New Roman" w:cs="Times New Roman" w:eastAsia="Times New Roman" w:hAnsi="Times New Roman"/>
          <w:sz w:val="18"/>
          <w:szCs w:val="18"/>
          <w:color w:val="auto"/>
        </w:rPr>
        <w:t>mean the voluntary termination of Employment by the Employee with the Company within sixty (60) days after the occurrence of any of the following events, without the Employee’s express written consent: (i) the reduction of the Employee’s Annual Salary or bonus eligibility, (ii) an adverse change in the Employee's title, authority, duties, or responsibilities, (iii) any material breach by the Company of the terms of this Agreement which has not been corrected by the Company within thirty (30) days after the Company’s receipt of written notice from the Employee of such breach.</w:t>
      </w:r>
    </w:p>
    <w:p>
      <w:pPr>
        <w:spacing w:after="0" w:line="384" w:lineRule="exact"/>
        <w:rPr>
          <w:sz w:val="20"/>
          <w:szCs w:val="20"/>
          <w:color w:val="auto"/>
        </w:rPr>
      </w:pPr>
    </w:p>
    <w:p>
      <w:pPr>
        <w:jc w:val="both"/>
        <w:ind w:right="280" w:firstLine="551"/>
        <w:spacing w:after="0" w:line="250" w:lineRule="auto"/>
        <w:rPr>
          <w:sz w:val="20"/>
          <w:szCs w:val="20"/>
          <w:color w:val="auto"/>
        </w:rPr>
      </w:pPr>
      <w:r>
        <w:rPr>
          <w:rFonts w:ascii="Times New Roman" w:cs="Times New Roman" w:eastAsia="Times New Roman" w:hAnsi="Times New Roman"/>
          <w:sz w:val="18"/>
          <w:szCs w:val="18"/>
          <w:b w:val="1"/>
          <w:bCs w:val="1"/>
          <w:color w:val="auto"/>
        </w:rPr>
        <w:t>4.3 Termination Without Cause or for Good Reason</w:t>
      </w:r>
      <w:r>
        <w:rPr>
          <w:rFonts w:ascii="Times New Roman" w:cs="Times New Roman" w:eastAsia="Times New Roman" w:hAnsi="Times New Roman"/>
          <w:sz w:val="18"/>
          <w:szCs w:val="18"/>
          <w:color w:val="auto"/>
        </w:rPr>
        <w:t>. If the Company terminates the Employee at any time without Cause or if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for Good Reason, the Company shall be obligated to (i) pay the Employee any accrued and unpaid Benefits vested up to the date of termination on the timing provided for under the applicable plans and programs or as provided by applicable law, and (ii) no later than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of termination, pay the Employee an amount equal to six (6) months of the Employee’s then current Annual Salary contingent on receipt of an acceptable release from Employee. At the Company’s sole discretion and subject to approval of the Board, Company may pay the Employee any annual bonus referred to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above that would otherwise be due for the fiscal year of termination, prorated to the number of days in the fiscal year for which the Employee was employed, and payable at the same time as the bonus would have otherwise been due had the Employee’s Employment not been terminated.</w:t>
      </w:r>
    </w:p>
    <w:p>
      <w:pPr>
        <w:spacing w:after="0" w:line="144" w:lineRule="exact"/>
        <w:rPr>
          <w:sz w:val="20"/>
          <w:szCs w:val="20"/>
          <w:color w:val="auto"/>
        </w:rPr>
      </w:pPr>
    </w:p>
    <w:p>
      <w:pPr>
        <w:jc w:val="both"/>
        <w:ind w:firstLine="550"/>
        <w:spacing w:after="0" w:line="230" w:lineRule="auto"/>
        <w:rPr>
          <w:sz w:val="20"/>
          <w:szCs w:val="20"/>
          <w:color w:val="auto"/>
        </w:rPr>
      </w:pPr>
      <w:r>
        <w:rPr>
          <w:rFonts w:ascii="Times New Roman" w:cs="Times New Roman" w:eastAsia="Times New Roman" w:hAnsi="Times New Roman"/>
          <w:sz w:val="18"/>
          <w:szCs w:val="18"/>
          <w:b w:val="1"/>
          <w:bCs w:val="1"/>
          <w:color w:val="auto"/>
        </w:rPr>
        <w:t>4.4 Section 409A</w:t>
      </w:r>
      <w:r>
        <w:rPr>
          <w:rFonts w:ascii="Times New Roman" w:cs="Times New Roman" w:eastAsia="Times New Roman" w:hAnsi="Times New Roman"/>
          <w:sz w:val="18"/>
          <w:szCs w:val="18"/>
          <w:color w:val="auto"/>
        </w:rPr>
        <w:t>. It is the intent that all amounts payable to Employee pursuant to this Agreement, be paid in a manner that is exempt from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satisfies the requirements of Section 409A of the Internal Revenue Code of 1986, as amended, and the treasury regulations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to the extent applicable, and, to the maximum extent possible, this Agreement shall be so interpreted. Each installment of any payment made pursuant to this Agreement shall constitute a separate “payment” for purposes of Section 409A. If the Employee is a “specified employee” as defined in Section 409A at the time of such Employee’s termination of employment with the Company, then no payments subject to Section 409A shall be paid to the Employee until the first business day that is more than six months following such date of termination, and all such payments that would otherwise have been paid prior to such date shall be paid on such six-month anniversary date, without interest, in a lump sum. No payment subject to Section 409A shall be paid at a time other than the time specified for such payment or otherwise allowed by Section 409A without penalty, and no amount shall be paid in substitution for any payment subject to Section 409A unless otherwise allowed by Section 409A without penalty. If any termination of employment occurs that does not constitute a “separation from service” as defined in Section 409A, then any payment subject to Section 409A that becomes payable by reason of such termination shall not be paid until the Employee incurs a separation from service as defined in Section 409A. To the extent any period set out for any payment under this Agreement straddles two calendar years, such payment shall be made in the second of such calendar years.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ectPr>
          <w:pgSz w:w="11900" w:h="16838" w:orient="portrait"/>
          <w:cols w:equalWidth="0" w:num="1">
            <w:col w:w="11260"/>
          </w:cols>
          <w:pgMar w:left="320" w:top="1414" w:right="319" w:bottom="1440" w:gutter="0" w:footer="0" w:header="0"/>
        </w:sectPr>
      </w:pPr>
    </w:p>
    <w:bookmarkStart w:id="208" w:name="page209"/>
    <w:bookmarkEnd w:id="20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59"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b w:val="1"/>
          <w:bCs w:val="1"/>
          <w:color w:val="auto"/>
        </w:rPr>
        <w:t>5.1 Notices</w:t>
      </w:r>
      <w:r>
        <w:rPr>
          <w:rFonts w:ascii="Times New Roman" w:cs="Times New Roman" w:eastAsia="Times New Roman" w:hAnsi="Times New Roman"/>
          <w:sz w:val="18"/>
          <w:szCs w:val="18"/>
          <w:color w:val="auto"/>
        </w:rPr>
        <w:t>. Any notice or other communication required or permitted hereunder shall be in writing and shall be delivered personally,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nationally-recognized overnight delivery service or sent by certified or registered mail, postage prepaid, return receipt requested or sent via email, in each case to the address as set forth below; receipt shall be deemed to occur on the earlier of the date of actual receipt or receipt by the sender of confirmation that the delivery was completed or that the addressee has refused to accept such delivery or has changed its address without giving notice of such change as set forth herein:</w:t>
      </w:r>
    </w:p>
    <w:p>
      <w:pPr>
        <w:spacing w:after="0" w:line="350" w:lineRule="exact"/>
        <w:rPr>
          <w:sz w:val="20"/>
          <w:szCs w:val="20"/>
          <w:color w:val="auto"/>
        </w:rPr>
      </w:pPr>
    </w:p>
    <w:p>
      <w:pPr>
        <w:ind w:left="1640" w:hanging="546"/>
        <w:spacing w:after="0"/>
        <w:tabs>
          <w:tab w:leader="none" w:pos="1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83"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Caris Life Sciences</w:t>
      </w:r>
    </w:p>
    <w:p>
      <w:pPr>
        <w:spacing w:after="0" w:line="19" w:lineRule="exact"/>
        <w:rPr>
          <w:rFonts w:ascii="Times New Roman" w:cs="Times New Roman" w:eastAsia="Times New Roman" w:hAnsi="Times New Roman"/>
          <w:sz w:val="18"/>
          <w:szCs w:val="18"/>
          <w:color w:val="auto"/>
        </w:rPr>
      </w:pPr>
    </w:p>
    <w:p>
      <w:pPr>
        <w:ind w:left="1640" w:right="48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W. John Carpenter Freeway, Suite 800 Irving, TX 75039 Attention: Legal Dept. Legal@carisls.com</w:t>
      </w:r>
    </w:p>
    <w:p>
      <w:pPr>
        <w:spacing w:after="0" w:line="173" w:lineRule="exact"/>
        <w:rPr>
          <w:rFonts w:ascii="Times New Roman" w:cs="Times New Roman" w:eastAsia="Times New Roman" w:hAnsi="Times New Roman"/>
          <w:sz w:val="18"/>
          <w:szCs w:val="18"/>
          <w:color w:val="auto"/>
        </w:rPr>
      </w:pPr>
    </w:p>
    <w:p>
      <w:pPr>
        <w:ind w:left="1640" w:hanging="546"/>
        <w:spacing w:after="0"/>
        <w:tabs>
          <w:tab w:leader="none" w:pos="16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Employee, to:</w:t>
      </w:r>
    </w:p>
    <w:p>
      <w:pPr>
        <w:spacing w:after="0" w:line="194" w:lineRule="exact"/>
        <w:rPr>
          <w:rFonts w:ascii="Times New Roman" w:cs="Times New Roman" w:eastAsia="Times New Roman" w:hAnsi="Times New Roman"/>
          <w:sz w:val="18"/>
          <w:szCs w:val="18"/>
          <w:color w:val="auto"/>
        </w:rPr>
      </w:pPr>
    </w:p>
    <w:p>
      <w:pPr>
        <w:ind w:left="1640" w:right="72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Russel Denton [*****] [*****] [*****]</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Either Party may change its address for notice hereunder by notice to the other Party hereto.</w:t>
      </w:r>
    </w:p>
    <w:p>
      <w:pPr>
        <w:spacing w:after="0" w:line="202" w:lineRule="exact"/>
        <w:rPr>
          <w:sz w:val="20"/>
          <w:szCs w:val="20"/>
          <w:color w:val="auto"/>
        </w:rPr>
      </w:pPr>
    </w:p>
    <w:p>
      <w:pPr>
        <w:jc w:val="both"/>
        <w:ind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5.2 Entire Agreement</w:t>
      </w:r>
      <w:r>
        <w:rPr>
          <w:rFonts w:ascii="Times New Roman" w:cs="Times New Roman" w:eastAsia="Times New Roman" w:hAnsi="Times New Roman"/>
          <w:sz w:val="18"/>
          <w:szCs w:val="18"/>
          <w:color w:val="auto"/>
        </w:rPr>
        <w:t>. This Agreement and the other agreements referenced herein contain the entire agreement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 all prior discussions and agreements, written or oral, with respect thereto.</w:t>
      </w:r>
    </w:p>
    <w:p>
      <w:pPr>
        <w:spacing w:after="0" w:line="111"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b w:val="1"/>
          <w:bCs w:val="1"/>
          <w:color w:val="auto"/>
        </w:rPr>
        <w:t>5.3 Waivers and Amendments</w:t>
      </w:r>
      <w:r>
        <w:rPr>
          <w:rFonts w:ascii="Times New Roman" w:cs="Times New Roman" w:eastAsia="Times New Roman" w:hAnsi="Times New Roman"/>
          <w:sz w:val="18"/>
          <w:szCs w:val="18"/>
          <w:color w:val="auto"/>
        </w:rPr>
        <w:t>. This Agreement may be amended, suspended, cancelled, renewed or extended, and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hereof may be waived, only by a written instrument signed by both Parties or, in the case of a waiver, by the Party waiving compliance. No delay on the part of any Party in exercising any right, power or privilege hereunder shall operate as a waiver thereof. Nor shall any waiver on the part of any Party of any such right, power or privilege hereunder, nor any single or partial exercise of any right, power or privilege hereunder, preclude any other or further exercise thereof or the exercise of any other right, power or privilege hereunder.</w:t>
      </w:r>
    </w:p>
    <w:p>
      <w:pPr>
        <w:spacing w:after="0" w:line="139" w:lineRule="exact"/>
        <w:rPr>
          <w:sz w:val="20"/>
          <w:szCs w:val="20"/>
          <w:color w:val="auto"/>
        </w:rPr>
      </w:pPr>
    </w:p>
    <w:p>
      <w:pPr>
        <w:jc w:val="both"/>
        <w:ind w:firstLine="551"/>
        <w:spacing w:after="0" w:line="274" w:lineRule="auto"/>
        <w:rPr>
          <w:sz w:val="20"/>
          <w:szCs w:val="20"/>
          <w:color w:val="auto"/>
        </w:rPr>
      </w:pPr>
      <w:r>
        <w:rPr>
          <w:rFonts w:ascii="Times New Roman" w:cs="Times New Roman" w:eastAsia="Times New Roman" w:hAnsi="Times New Roman"/>
          <w:sz w:val="18"/>
          <w:szCs w:val="18"/>
          <w:b w:val="1"/>
          <w:bCs w:val="1"/>
          <w:color w:val="auto"/>
        </w:rPr>
        <w:t>5.4 Assignment</w:t>
      </w:r>
      <w:r>
        <w:rPr>
          <w:rFonts w:ascii="Times New Roman" w:cs="Times New Roman" w:eastAsia="Times New Roman" w:hAnsi="Times New Roman"/>
          <w:sz w:val="18"/>
          <w:szCs w:val="18"/>
          <w:color w:val="auto"/>
        </w:rPr>
        <w:t>. This Agreement shall inure to the benefit of and shall be binding upon the Employee and the Employee’s executor,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heirs, personal representative and assigns, and the Company and its successors and assigns; provided, however, that the Employee shall not be entitled to assign any of the Employee’s rights or</w:t>
      </w:r>
    </w:p>
    <w:p>
      <w:pPr>
        <w:sectPr>
          <w:pgSz w:w="11900" w:h="16838" w:orient="portrait"/>
          <w:cols w:equalWidth="0" w:num="1">
            <w:col w:w="10980"/>
          </w:cols>
          <w:pgMar w:left="320" w:top="1204" w:right="599" w:bottom="1440" w:gutter="0" w:footer="0" w:header="0"/>
        </w:sectPr>
      </w:pPr>
    </w:p>
    <w:bookmarkStart w:id="209" w:name="page210"/>
    <w:bookmarkEnd w:id="209"/>
    <w:p>
      <w:pPr>
        <w:jc w:val="both"/>
        <w:ind w:right="280"/>
        <w:spacing w:after="0" w:line="271" w:lineRule="auto"/>
        <w:rPr>
          <w:sz w:val="20"/>
          <w:szCs w:val="20"/>
          <w:color w:val="auto"/>
        </w:rPr>
      </w:pPr>
      <w:r>
        <w:rPr>
          <w:rFonts w:ascii="Times New Roman" w:cs="Times New Roman" w:eastAsia="Times New Roman" w:hAnsi="Times New Roman"/>
          <w:sz w:val="18"/>
          <w:szCs w:val="18"/>
          <w:color w:val="auto"/>
        </w:rPr>
        <w:t>delegate any of the Employee’s duties under this Agreement. The Employee agrees that this Agreement may be freely assigned by the Company to any person or entity which succeeds to all or any significant portion of the Company’s assets or Business, whether pursuant to a sale of assets, sale of stock, merger or other similar transaction.</w:t>
      </w:r>
    </w:p>
    <w:p>
      <w:pPr>
        <w:spacing w:after="0" w:line="145" w:lineRule="exact"/>
        <w:rPr>
          <w:sz w:val="20"/>
          <w:szCs w:val="20"/>
          <w:color w:val="auto"/>
        </w:rPr>
      </w:pPr>
    </w:p>
    <w:p>
      <w:pPr>
        <w:jc w:val="both"/>
        <w:ind w:right="280" w:firstLine="551"/>
        <w:spacing w:after="0" w:line="264" w:lineRule="auto"/>
        <w:rPr>
          <w:sz w:val="20"/>
          <w:szCs w:val="20"/>
          <w:color w:val="auto"/>
        </w:rPr>
      </w:pPr>
      <w:r>
        <w:rPr>
          <w:rFonts w:ascii="Times New Roman" w:cs="Times New Roman" w:eastAsia="Times New Roman" w:hAnsi="Times New Roman"/>
          <w:sz w:val="18"/>
          <w:szCs w:val="18"/>
          <w:b w:val="1"/>
          <w:bCs w:val="1"/>
          <w:color w:val="auto"/>
        </w:rPr>
        <w:t>5.5 Severability: Construction</w:t>
      </w:r>
      <w:r>
        <w:rPr>
          <w:rFonts w:ascii="Times New Roman" w:cs="Times New Roman" w:eastAsia="Times New Roman" w:hAnsi="Times New Roman"/>
          <w:sz w:val="18"/>
          <w:szCs w:val="18"/>
          <w:color w:val="auto"/>
        </w:rPr>
        <w:t>. Whenever possible, each provision of this Agreement shall be interpreted in such manner as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valid under applicable law, but if any provision of this Agreement is held by a court of competent jurisdiction to be prohibited by or invalid under applicable law, such provision shall be ineffective only to the extent of such prohibition or invalidity, without invalidating the remainder of this Agreement. Use of the word “including” shall not be limited by the terms following such word. All references to singular or plural terms shall mean the other where appropriate. 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refer to subsidiaries of Caris Life Sciences, Inc., a Texas corporation, now existing or hereafter formed or acquired.</w:t>
      </w:r>
    </w:p>
    <w:p>
      <w:pPr>
        <w:spacing w:after="0" w:line="138" w:lineRule="exact"/>
        <w:rPr>
          <w:sz w:val="20"/>
          <w:szCs w:val="20"/>
          <w:color w:val="auto"/>
        </w:rPr>
      </w:pPr>
    </w:p>
    <w:p>
      <w:pPr>
        <w:jc w:val="both"/>
        <w:ind w:right="280"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5.6 Choice of Law</w:t>
      </w:r>
      <w:r>
        <w:rPr>
          <w:rFonts w:ascii="Times New Roman" w:cs="Times New Roman" w:eastAsia="Times New Roman" w:hAnsi="Times New Roman"/>
          <w:sz w:val="18"/>
          <w:szCs w:val="18"/>
          <w:color w:val="auto"/>
        </w:rPr>
        <w:t>. This Agreement shall be governed by, and construed in accordance with the internal laws (as opposed to conflict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provisions) of the State of Texas.</w:t>
      </w:r>
    </w:p>
    <w:p>
      <w:pPr>
        <w:spacing w:after="0" w:line="111" w:lineRule="exact"/>
        <w:rPr>
          <w:sz w:val="20"/>
          <w:szCs w:val="20"/>
          <w:color w:val="auto"/>
        </w:rPr>
      </w:pPr>
    </w:p>
    <w:p>
      <w:pPr>
        <w:jc w:val="both"/>
        <w:ind w:right="280"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5.7 Headings</w:t>
      </w:r>
      <w:r>
        <w:rPr>
          <w:rFonts w:ascii="Times New Roman" w:cs="Times New Roman" w:eastAsia="Times New Roman" w:hAnsi="Times New Roman"/>
          <w:sz w:val="18"/>
          <w:szCs w:val="18"/>
          <w:color w:val="auto"/>
        </w:rPr>
        <w:t>. The section and subsection headings contained in this Agreement are for reference purposes only and shall not effect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the meaning or interpretation of this Agreement.</w:t>
      </w:r>
    </w:p>
    <w:p>
      <w:pPr>
        <w:spacing w:after="0" w:line="123" w:lineRule="exact"/>
        <w:rPr>
          <w:sz w:val="20"/>
          <w:szCs w:val="20"/>
          <w:color w:val="auto"/>
        </w:rPr>
      </w:pPr>
    </w:p>
    <w:p>
      <w:pPr>
        <w:jc w:val="both"/>
        <w:ind w:right="280"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5.8 Counterparts</w:t>
      </w:r>
      <w:r>
        <w:rPr>
          <w:rFonts w:ascii="Times New Roman" w:cs="Times New Roman" w:eastAsia="Times New Roman" w:hAnsi="Times New Roman"/>
          <w:sz w:val="18"/>
          <w:szCs w:val="18"/>
          <w:color w:val="auto"/>
        </w:rPr>
        <w:t>. This Agreement may be executed in separate counterparts, each of which when executed and delivered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all of which together shall constitute one and the same instrument.</w:t>
      </w:r>
    </w:p>
    <w:p>
      <w:pPr>
        <w:spacing w:after="0" w:line="88" w:lineRule="exact"/>
        <w:rPr>
          <w:sz w:val="20"/>
          <w:szCs w:val="20"/>
          <w:color w:val="auto"/>
        </w:rPr>
      </w:pPr>
    </w:p>
    <w:p>
      <w:pPr>
        <w:jc w:val="both"/>
        <w:ind w:firstLine="550"/>
        <w:spacing w:after="0" w:line="230" w:lineRule="auto"/>
        <w:rPr>
          <w:sz w:val="20"/>
          <w:szCs w:val="20"/>
          <w:color w:val="auto"/>
        </w:rPr>
      </w:pPr>
      <w:r>
        <w:rPr>
          <w:rFonts w:ascii="Times New Roman" w:cs="Times New Roman" w:eastAsia="Times New Roman" w:hAnsi="Times New Roman"/>
          <w:sz w:val="18"/>
          <w:szCs w:val="18"/>
          <w:b w:val="1"/>
          <w:bCs w:val="1"/>
          <w:color w:val="auto"/>
        </w:rPr>
        <w:t>5.9 Indemnification</w:t>
      </w:r>
      <w:r>
        <w:rPr>
          <w:rFonts w:ascii="Times New Roman" w:cs="Times New Roman" w:eastAsia="Times New Roman" w:hAnsi="Times New Roman"/>
          <w:sz w:val="18"/>
          <w:szCs w:val="18"/>
          <w:color w:val="auto"/>
        </w:rPr>
        <w:t>. The Employee shall be entitled to the full benefit of any and all indemnification provisions contained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as amended from time to time, and/or Bylaws, and the Company shall provide indemnification to the Employee to the same extent as it indemnifies any other officer or director of the Company. The Company and Employee will enter into the Company’s standard form of indemnification agreement.</w:t>
      </w:r>
    </w:p>
    <w:p>
      <w:pPr>
        <w:spacing w:after="0" w:line="148" w:lineRule="exact"/>
        <w:rPr>
          <w:sz w:val="20"/>
          <w:szCs w:val="20"/>
          <w:color w:val="auto"/>
        </w:rPr>
      </w:pPr>
    </w:p>
    <w:p>
      <w:pPr>
        <w:jc w:val="both"/>
        <w:ind w:right="280" w:firstLine="551"/>
        <w:spacing w:after="0" w:line="260" w:lineRule="auto"/>
        <w:rPr>
          <w:sz w:val="20"/>
          <w:szCs w:val="20"/>
          <w:color w:val="auto"/>
        </w:rPr>
      </w:pPr>
      <w:r>
        <w:rPr>
          <w:rFonts w:ascii="Times New Roman" w:cs="Times New Roman" w:eastAsia="Times New Roman" w:hAnsi="Times New Roman"/>
          <w:sz w:val="18"/>
          <w:szCs w:val="18"/>
          <w:b w:val="1"/>
          <w:bCs w:val="1"/>
          <w:color w:val="auto"/>
        </w:rPr>
        <w:t>5.10 Dispute Resolution</w:t>
      </w:r>
      <w:r>
        <w:rPr>
          <w:rFonts w:ascii="Times New Roman" w:cs="Times New Roman" w:eastAsia="Times New Roman" w:hAnsi="Times New Roman"/>
          <w:sz w:val="18"/>
          <w:szCs w:val="18"/>
          <w:color w:val="auto"/>
        </w:rPr>
        <w:t>. Except as provided below, this dispute resolution provision applies to any dispute, claim or disagreement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 or in connection to Employee’s employment with Company, and including any dispute arising out of or in connection with this Agreement, including, without limitation, the negotiation, execution, interpretation, performance or non-performance of this Agreement. This dispute resolution provision applies to a covered dispute that Employer may have against Company or that Employee may have against Company or its officers, directors, shareholders, members, owners, employees, managers, agents and attorneys. This provision does not apply to claims for worker’s compensation, state disability insurance and unemployment insurance benefits; however, it does apply to retaliation claims based upon seeking such benefits. This provision does not apply to claims for employee benefits under any benefit plan covered by the Employee Retirement Income Security Act of 1974 or funded by insurance. This provision does not apply to any claim that an applicable federal statute or applicable federal Executive</w:t>
      </w:r>
    </w:p>
    <w:p>
      <w:pPr>
        <w:sectPr>
          <w:pgSz w:w="11900" w:h="16838" w:orient="portrait"/>
          <w:cols w:equalWidth="0" w:num="1">
            <w:col w:w="11260"/>
          </w:cols>
          <w:pgMar w:left="320" w:top="1414" w:right="319" w:bottom="1440" w:gutter="0" w:footer="0" w:header="0"/>
        </w:sectPr>
      </w:pPr>
    </w:p>
    <w:bookmarkStart w:id="210" w:name="page211"/>
    <w:bookmarkEnd w:id="210"/>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Order expressly states cannot be arbitrated. Nothing in this Agreement prevents the making of a report to or filing a claim or charge with a government agency, including without limitation the Equal Employment Opportunity Commission, U.S. Department of Labor, Securities and Exchange Commission, National Labor Relations Board, or Office of Federal Contract Compliance Programs. Nothing in this Agreement prevents the investigation by a government agency of any report, claim or charge otherwise covered by this Agreement. This Agreement also does not prevent federal administrative agencies from adjudicating claims and awarding remedies based on those claims, even if the claims would otherwise be covered by this Agreement. Nothing in this Agreement prevents or excuses a Party from satisfying any conditions precedent and/or exhausting administrative remedies under applicable law before bringing a claim in arbitration.</w:t>
      </w:r>
    </w:p>
    <w:p>
      <w:pPr>
        <w:spacing w:after="0" w:line="147" w:lineRule="exact"/>
        <w:rPr>
          <w:sz w:val="20"/>
          <w:szCs w:val="20"/>
          <w:color w:val="auto"/>
        </w:rPr>
      </w:pPr>
    </w:p>
    <w:p>
      <w:pPr>
        <w:jc w:val="both"/>
        <w:ind w:firstLine="550"/>
        <w:spacing w:after="0" w:line="259" w:lineRule="auto"/>
        <w:rPr>
          <w:sz w:val="20"/>
          <w:szCs w:val="20"/>
          <w:color w:val="auto"/>
        </w:rPr>
      </w:pPr>
      <w:r>
        <w:rPr>
          <w:rFonts w:ascii="Times New Roman" w:cs="Times New Roman" w:eastAsia="Times New Roman" w:hAnsi="Times New Roman"/>
          <w:sz w:val="18"/>
          <w:szCs w:val="18"/>
          <w:color w:val="auto"/>
        </w:rPr>
        <w:t>The Parties shall first submit the dispute, claim or disagreement to non-binding mediation administered by the American Arbitration Association (the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in accordance with its Employment Mediation Rules. The place of mediation shall be Dallas, Texas. If the dispute, claim or disagreement is not resolved within 30 days after the initial mediation meeting among the Parties and the mediator, or if the mediation is otherwise terminated, then either Party may submit the dispute, claim or disagreement to binding arbitration administered by the AAA in accordance with the provisions of its Employment Arbitration Rules (the “</w:t>
      </w:r>
      <w:r>
        <w:rPr>
          <w:rFonts w:ascii="Times New Roman" w:cs="Times New Roman" w:eastAsia="Times New Roman" w:hAnsi="Times New Roman"/>
          <w:sz w:val="18"/>
          <w:szCs w:val="18"/>
          <w:b w:val="1"/>
          <w:bCs w:val="1"/>
          <w:i w:val="1"/>
          <w:iCs w:val="1"/>
          <w:color w:val="auto"/>
        </w:rPr>
        <w:t>Rules</w:t>
      </w:r>
      <w:r>
        <w:rPr>
          <w:rFonts w:ascii="Times New Roman" w:cs="Times New Roman" w:eastAsia="Times New Roman" w:hAnsi="Times New Roman"/>
          <w:sz w:val="18"/>
          <w:szCs w:val="18"/>
          <w:color w:val="auto"/>
        </w:rPr>
        <w:t xml:space="preserve">”) and, except as otherwise provided in this Agreement, such arbitration shall be the sole means of dispute resolution. The place of arbitration shall be Dallas, Texas. The arbitration shall be conducted by one arbitrator selected in accordance with the Rules, unless the Parties otherwise agree. Any mediator or arbitrator selected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be a practicing attorney experienced in employment agreements and acquisitions and shall not have been employed or engaged by or affiliated with either of the Parties or their respective affiliates. Each Party shall initially bear its own costs and expenses in connection with any mediation or arbitration hereunder, including, without limitation, its attorneys’ fees, and an equal share of the mediator’s or arbitrator’s and administrative fees of mediation or arbitration. The decision of the arbitrator shall be in writing and shall state the reasons therefore. Judgment upon an arbitration award may be entered in any court of competent jurisdiction and shall be final, binding and non-appealable. The arbitrator, and not any federal, state, or local court or agency, shall have the exclusive authority to resolve any dispute relating to the interpretation, applicability, enforceability, or formation of this section.</w:t>
      </w:r>
    </w:p>
    <w:p>
      <w:pPr>
        <w:spacing w:after="0" w:line="24"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8"/>
          <w:szCs w:val="18"/>
          <w:color w:val="auto"/>
        </w:rPr>
        <w:t>However, the preceding sentence shall not apply to the “Class Action Waiver” described below. Regardless of anything else in this Agreement and/or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rules or procedures, any dispute relating to the interpretation, applicability, enforceability or formation of the Class Action Waiver may only be determined by a court and not an arbitrator.</w:t>
      </w:r>
    </w:p>
    <w:p>
      <w:pPr>
        <w:spacing w:after="0" w:line="149" w:lineRule="exact"/>
        <w:rPr>
          <w:sz w:val="20"/>
          <w:szCs w:val="20"/>
          <w:color w:val="auto"/>
        </w:rPr>
      </w:pPr>
    </w:p>
    <w:p>
      <w:pPr>
        <w:jc w:val="both"/>
        <w:ind w:right="280"/>
        <w:spacing w:after="0" w:line="271" w:lineRule="auto"/>
        <w:rPr>
          <w:sz w:val="20"/>
          <w:szCs w:val="20"/>
          <w:color w:val="auto"/>
        </w:rPr>
      </w:pPr>
      <w:r>
        <w:rPr>
          <w:rFonts w:ascii="Times New Roman" w:cs="Times New Roman" w:eastAsia="Times New Roman" w:hAnsi="Times New Roman"/>
          <w:sz w:val="18"/>
          <w:szCs w:val="18"/>
          <w:color w:val="auto"/>
        </w:rPr>
        <w:t>Employee and Company agree to bring any claim or dispute in arbitration on an individual basis only, and not as a class or collective action; Employee and Company waive any right for a dispute or claim to be brought, heard, or decided as a class or collective action, and the arbitrator has no power or authority to preside over a class or collective action (“</w:t>
      </w:r>
      <w:r>
        <w:rPr>
          <w:rFonts w:ascii="Times New Roman" w:cs="Times New Roman" w:eastAsia="Times New Roman" w:hAnsi="Times New Roman"/>
          <w:sz w:val="18"/>
          <w:szCs w:val="18"/>
          <w:b w:val="1"/>
          <w:bCs w:val="1"/>
          <w:i w:val="1"/>
          <w:iCs w:val="1"/>
          <w:color w:val="auto"/>
        </w:rPr>
        <w:t>Class Action Waiver</w:t>
      </w:r>
      <w:r>
        <w:rPr>
          <w:rFonts w:ascii="Times New Roman" w:cs="Times New Roman" w:eastAsia="Times New Roman" w:hAnsi="Times New Roman"/>
          <w:sz w:val="18"/>
          <w:szCs w:val="18"/>
          <w:color w:val="auto"/>
        </w:rPr>
        <w:t>”).</w:t>
      </w:r>
    </w:p>
    <w:p>
      <w:pPr>
        <w:sectPr>
          <w:pgSz w:w="11900" w:h="16838" w:orient="portrait"/>
          <w:cols w:equalWidth="0" w:num="1">
            <w:col w:w="11260"/>
          </w:cols>
          <w:pgMar w:left="320" w:top="1414" w:right="319" w:bottom="1440" w:gutter="0" w:footer="0" w:header="0"/>
        </w:sectPr>
      </w:pPr>
    </w:p>
    <w:bookmarkStart w:id="211" w:name="page212"/>
    <w:bookmarkEnd w:id="211"/>
    <w:p>
      <w:pPr>
        <w:jc w:val="both"/>
        <w:ind w:right="100"/>
        <w:spacing w:after="0" w:line="270"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to the contrary, each Party shall be entitled to seek injunctive or other equitable relief in any court of competent jurisdiction without first submitting the matter to mediation or arbitration in accordance with the provisions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even if a similar or related matter has already been referred to meditation or arbitration in accordance with the terms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Venue for any action permitted to be brought in court under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be the appropriate state and federal courts located in Dallas County, Texas.</w:t>
      </w:r>
    </w:p>
    <w:p>
      <w:pPr>
        <w:spacing w:after="0" w:line="132" w:lineRule="exact"/>
        <w:rPr>
          <w:sz w:val="20"/>
          <w:szCs w:val="20"/>
          <w:color w:val="auto"/>
        </w:rPr>
      </w:pPr>
    </w:p>
    <w:p>
      <w:pPr>
        <w:jc w:val="both"/>
        <w:ind w:right="100" w:firstLine="5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5.11 Disclosures. </w:t>
      </w:r>
      <w:r>
        <w:rPr>
          <w:rFonts w:ascii="Times New Roman" w:cs="Times New Roman" w:eastAsia="Times New Roman" w:hAnsi="Times New Roman"/>
          <w:sz w:val="18"/>
          <w:szCs w:val="18"/>
          <w:color w:val="auto"/>
        </w:rPr>
        <w:t>Nothing in this Agreement prohibits Employee from reporting an event that Employee reasonably and in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believes is a violation of law to the relevant law-enforcement agency (such as the Securities and Exchange Commission, Equal Employment Opportunity Commission, or Department of Labor), or from cooperating in an investigation conducted by such a government agency. This may include disclosure of trade secret or confidential information within the limitations permitted by the 2016 Defend Trade Secrets Act (DTSA). Employee is hereby provided notice that under the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49" w:lineRule="exact"/>
        <w:rPr>
          <w:sz w:val="20"/>
          <w:szCs w:val="20"/>
          <w:color w:val="auto"/>
        </w:rPr>
      </w:pPr>
    </w:p>
    <w:p>
      <w:pPr>
        <w:jc w:val="both"/>
        <w:ind w:right="100" w:firstLine="551"/>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5.12 Representation. </w:t>
      </w:r>
      <w:r>
        <w:rPr>
          <w:rFonts w:ascii="Times New Roman" w:cs="Times New Roman" w:eastAsia="Times New Roman" w:hAnsi="Times New Roman"/>
          <w:sz w:val="18"/>
          <w:szCs w:val="18"/>
          <w:color w:val="auto"/>
        </w:rPr>
        <w:t>The Employee has consulted with and relied upon independent legal counsel in determining whether to sign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has not relied upon the Company nor the Company’s counsel to represent the Employee’s interests.</w:t>
      </w:r>
    </w:p>
    <w:p>
      <w:pPr>
        <w:spacing w:after="0" w:line="115" w:lineRule="exact"/>
        <w:rPr>
          <w:sz w:val="20"/>
          <w:szCs w:val="20"/>
          <w:color w:val="auto"/>
        </w:rPr>
      </w:pPr>
    </w:p>
    <w:p>
      <w:pPr>
        <w:ind w:firstLine="550"/>
        <w:spacing w:after="0" w:line="304" w:lineRule="auto"/>
        <w:rPr>
          <w:sz w:val="20"/>
          <w:szCs w:val="20"/>
          <w:color w:val="auto"/>
        </w:rPr>
      </w:pPr>
      <w:r>
        <w:rPr>
          <w:rFonts w:ascii="Times New Roman" w:cs="Times New Roman" w:eastAsia="Times New Roman" w:hAnsi="Times New Roman"/>
          <w:sz w:val="18"/>
          <w:szCs w:val="18"/>
          <w:color w:val="auto"/>
        </w:rPr>
        <w:t>Upon execution of this Agreement and thereafter, Company covenants and agrees that it shall provide Employee with Confidential Information as defined herein.</w:t>
      </w:r>
    </w:p>
    <w:p>
      <w:pPr>
        <w:spacing w:after="0" w:line="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date first above written.</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CARIS SCIENCE, INC.</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 David D. Halbert</w:t>
      </w:r>
    </w:p>
    <w:p>
      <w:pPr>
        <w:spacing w:after="0" w:line="1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u w:val="single" w:color="auto"/>
          <w:color w:val="auto"/>
        </w:rPr>
        <w:t>David D. Halbert</w:t>
      </w:r>
    </w:p>
    <w:p>
      <w:pPr>
        <w:spacing w:after="0" w:line="11" w:lineRule="exact"/>
        <w:rPr>
          <w:sz w:val="20"/>
          <w:szCs w:val="20"/>
          <w:color w:val="auto"/>
        </w:rPr>
      </w:pPr>
    </w:p>
    <w:p>
      <w:pPr>
        <w:ind w:left="3300"/>
        <w:spacing w:after="0"/>
        <w:tabs>
          <w:tab w:leader="none" w:pos="3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u w:val="single" w:color="auto"/>
          <w:color w:val="auto"/>
        </w:rPr>
        <w:t>CEO</w:t>
      </w:r>
    </w:p>
    <w:p>
      <w:pPr>
        <w:spacing w:after="0" w:line="19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EMPLOYEE:</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 John Russel Denton</w:t>
      </w:r>
    </w:p>
    <w:p>
      <w:pPr>
        <w:spacing w:after="0" w:line="3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John Russel Denton</w:t>
      </w:r>
    </w:p>
    <w:p>
      <w:pPr>
        <w:sectPr>
          <w:pgSz w:w="11900" w:h="16838" w:orient="portrait"/>
          <w:cols w:equalWidth="0" w:num="1">
            <w:col w:w="11080"/>
          </w:cols>
          <w:pgMar w:left="320" w:top="1414" w:right="4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13a-14(a) AND 15d-14(a) UNDER THE SECURITIES EXCHANGE ACT OF 1934,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PROMULGATED UNDER SECTION 302 OF THE SARBANES-OXLEY ACT OF 2002</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I, David Dean Halbert, certify that:</w:t>
      </w:r>
    </w:p>
    <w:p>
      <w:pPr>
        <w:spacing w:after="0" w:line="149" w:lineRule="exact"/>
        <w:rPr>
          <w:sz w:val="20"/>
          <w:szCs w:val="20"/>
          <w:color w:val="auto"/>
        </w:rPr>
      </w:pPr>
    </w:p>
    <w:p>
      <w:pPr>
        <w:ind w:left="540" w:hanging="273"/>
        <w:spacing w:after="0"/>
        <w:tabs>
          <w:tab w:leader="none" w:pos="5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Caris Life Sciences, Inc.;</w:t>
      </w:r>
    </w:p>
    <w:p>
      <w:pPr>
        <w:spacing w:after="0" w:line="160" w:lineRule="exact"/>
        <w:rPr>
          <w:rFonts w:ascii="Arial" w:cs="Arial" w:eastAsia="Arial" w:hAnsi="Arial"/>
          <w:sz w:val="15"/>
          <w:szCs w:val="15"/>
          <w:color w:val="auto"/>
        </w:rPr>
      </w:pPr>
    </w:p>
    <w:p>
      <w:pPr>
        <w:ind w:left="540" w:right="40" w:hanging="273"/>
        <w:spacing w:after="0" w:line="310" w:lineRule="auto"/>
        <w:tabs>
          <w:tab w:leader="none" w:pos="54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5"/>
          <w:szCs w:val="15"/>
          <w:color w:val="auto"/>
        </w:rPr>
      </w:pPr>
    </w:p>
    <w:p>
      <w:pPr>
        <w:ind w:left="540" w:right="340" w:hanging="273"/>
        <w:spacing w:after="0" w:line="326" w:lineRule="auto"/>
        <w:tabs>
          <w:tab w:leader="none" w:pos="54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5"/>
          <w:szCs w:val="15"/>
          <w:color w:val="auto"/>
        </w:rPr>
      </w:pPr>
    </w:p>
    <w:p>
      <w:pPr>
        <w:ind w:left="540" w:right="220" w:hanging="273"/>
        <w:spacing w:after="0" w:line="287" w:lineRule="auto"/>
        <w:tabs>
          <w:tab w:leader="none" w:pos="54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jc w:val="both"/>
        <w:ind w:left="1100" w:hanging="281"/>
        <w:spacing w:after="0" w:line="307" w:lineRule="auto"/>
        <w:tabs>
          <w:tab w:leader="none" w:pos="1115" w:val="left"/>
        </w:tabs>
        <w:numPr>
          <w:ilvl w:val="1"/>
          <w:numId w:val="18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5"/>
          <w:szCs w:val="15"/>
          <w:color w:val="auto"/>
        </w:rPr>
      </w:pPr>
    </w:p>
    <w:p>
      <w:pPr>
        <w:ind w:left="1100" w:hanging="281"/>
        <w:spacing w:after="0"/>
        <w:tabs>
          <w:tab w:leader="none" w:pos="110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(Paragraph omitted pursuant to Exchange Act Rules 13a-14(a) and 15d-15(a));</w:t>
      </w:r>
    </w:p>
    <w:p>
      <w:pPr>
        <w:spacing w:after="0" w:line="160" w:lineRule="exact"/>
        <w:rPr>
          <w:rFonts w:ascii="Arial" w:cs="Arial" w:eastAsia="Arial" w:hAnsi="Arial"/>
          <w:sz w:val="15"/>
          <w:szCs w:val="15"/>
          <w:color w:val="auto"/>
        </w:rPr>
      </w:pPr>
    </w:p>
    <w:p>
      <w:pPr>
        <w:ind w:left="1100" w:hanging="281"/>
        <w:spacing w:after="0" w:line="326" w:lineRule="auto"/>
        <w:tabs>
          <w:tab w:leader="none" w:pos="1118" w:val="left"/>
        </w:tabs>
        <w:numPr>
          <w:ilvl w:val="1"/>
          <w:numId w:val="1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jc w:val="both"/>
        <w:ind w:left="1100" w:right="20" w:hanging="281"/>
        <w:spacing w:after="0" w:line="307" w:lineRule="auto"/>
        <w:tabs>
          <w:tab w:leader="none" w:pos="110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5"/>
          <w:szCs w:val="15"/>
          <w:color w:val="auto"/>
        </w:rPr>
      </w:pPr>
    </w:p>
    <w:p>
      <w:pPr>
        <w:ind w:left="540" w:right="720" w:hanging="273"/>
        <w:spacing w:after="0" w:line="326" w:lineRule="auto"/>
        <w:tabs>
          <w:tab w:leader="none" w:pos="54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5"/>
          <w:szCs w:val="15"/>
          <w:color w:val="auto"/>
        </w:rPr>
      </w:pPr>
    </w:p>
    <w:p>
      <w:pPr>
        <w:ind w:left="1100" w:right="20" w:hanging="281"/>
        <w:spacing w:after="0" w:line="326" w:lineRule="auto"/>
        <w:tabs>
          <w:tab w:leader="none" w:pos="1115"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5"/>
          <w:szCs w:val="15"/>
          <w:color w:val="auto"/>
        </w:rPr>
      </w:pPr>
    </w:p>
    <w:p>
      <w:pPr>
        <w:ind w:left="1100" w:hanging="281"/>
        <w:spacing w:after="0" w:line="326" w:lineRule="auto"/>
        <w:tabs>
          <w:tab w:leader="none" w:pos="110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Date: May 8, 2026</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/s/ David Dean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31115</wp:posOffset>
            </wp:positionV>
            <wp:extent cx="298196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981960" cy="6985"/>
                    </a:xfrm>
                    <a:prstGeom prst="rect">
                      <a:avLst/>
                    </a:prstGeom>
                    <a:noFill/>
                  </pic:spPr>
                </pic:pic>
              </a:graphicData>
            </a:graphic>
          </wp:anchor>
        </w:drawing>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David Dean Halbert</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Founder, Chairman and Chief Executive Officer</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124"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13a-14(a) AND 15d-14(a) UNDER THE SECURITIES EXCHANGE ACT OF 1934,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PROMULGATED UNDER SECTION 302 OF THE SARBANES-OXLEY ACT OF 2002</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 Luke Power, certify that:</w:t>
      </w:r>
    </w:p>
    <w:p>
      <w:pPr>
        <w:spacing w:after="0" w:line="147" w:lineRule="exact"/>
        <w:rPr>
          <w:sz w:val="20"/>
          <w:szCs w:val="20"/>
          <w:color w:val="auto"/>
        </w:rPr>
      </w:pPr>
    </w:p>
    <w:p>
      <w:pPr>
        <w:ind w:left="540" w:hanging="273"/>
        <w:spacing w:after="0"/>
        <w:tabs>
          <w:tab w:leader="none" w:pos="54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Caris Life Sciences, Inc.;</w:t>
      </w:r>
    </w:p>
    <w:p>
      <w:pPr>
        <w:spacing w:after="0" w:line="160" w:lineRule="exact"/>
        <w:rPr>
          <w:rFonts w:ascii="Arial" w:cs="Arial" w:eastAsia="Arial" w:hAnsi="Arial"/>
          <w:sz w:val="15"/>
          <w:szCs w:val="15"/>
          <w:color w:val="auto"/>
        </w:rPr>
      </w:pPr>
    </w:p>
    <w:p>
      <w:pPr>
        <w:ind w:left="540" w:right="40" w:hanging="273"/>
        <w:spacing w:after="0" w:line="310" w:lineRule="auto"/>
        <w:tabs>
          <w:tab w:leader="none" w:pos="54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5"/>
          <w:szCs w:val="15"/>
          <w:color w:val="auto"/>
        </w:rPr>
      </w:pPr>
    </w:p>
    <w:p>
      <w:pPr>
        <w:ind w:left="540" w:right="340" w:hanging="273"/>
        <w:spacing w:after="0" w:line="326" w:lineRule="auto"/>
        <w:tabs>
          <w:tab w:leader="none" w:pos="54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5"/>
          <w:szCs w:val="15"/>
          <w:color w:val="auto"/>
        </w:rPr>
      </w:pPr>
    </w:p>
    <w:p>
      <w:pPr>
        <w:ind w:left="540" w:right="220" w:hanging="273"/>
        <w:spacing w:after="0" w:line="287" w:lineRule="auto"/>
        <w:tabs>
          <w:tab w:leader="none" w:pos="54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jc w:val="both"/>
        <w:ind w:left="1100" w:hanging="281"/>
        <w:spacing w:after="0" w:line="307" w:lineRule="auto"/>
        <w:tabs>
          <w:tab w:leader="none" w:pos="1115" w:val="left"/>
        </w:tabs>
        <w:numPr>
          <w:ilvl w:val="1"/>
          <w:numId w:val="18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5"/>
          <w:szCs w:val="15"/>
          <w:color w:val="auto"/>
        </w:rPr>
      </w:pPr>
    </w:p>
    <w:p>
      <w:pPr>
        <w:ind w:left="1100" w:hanging="281"/>
        <w:spacing w:after="0"/>
        <w:tabs>
          <w:tab w:leader="none" w:pos="110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(Paragraph omitted pursuant to Exchange Act Rules 13a-14(a) and 15d-15(a));</w:t>
      </w:r>
    </w:p>
    <w:p>
      <w:pPr>
        <w:spacing w:after="0" w:line="160" w:lineRule="exact"/>
        <w:rPr>
          <w:rFonts w:ascii="Arial" w:cs="Arial" w:eastAsia="Arial" w:hAnsi="Arial"/>
          <w:sz w:val="15"/>
          <w:szCs w:val="15"/>
          <w:color w:val="auto"/>
        </w:rPr>
      </w:pPr>
    </w:p>
    <w:p>
      <w:pPr>
        <w:ind w:left="1100" w:hanging="281"/>
        <w:spacing w:after="0" w:line="326" w:lineRule="auto"/>
        <w:tabs>
          <w:tab w:leader="none" w:pos="1118" w:val="left"/>
        </w:tabs>
        <w:numPr>
          <w:ilvl w:val="1"/>
          <w:numId w:val="18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jc w:val="both"/>
        <w:ind w:left="1100" w:right="20" w:hanging="281"/>
        <w:spacing w:after="0" w:line="307" w:lineRule="auto"/>
        <w:tabs>
          <w:tab w:leader="none" w:pos="1103" w:val="left"/>
        </w:tabs>
        <w:numPr>
          <w:ilvl w:val="1"/>
          <w:numId w:val="18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5"/>
          <w:szCs w:val="15"/>
          <w:color w:val="auto"/>
        </w:rPr>
      </w:pPr>
    </w:p>
    <w:p>
      <w:pPr>
        <w:ind w:left="540" w:right="720" w:hanging="273"/>
        <w:spacing w:after="0" w:line="326" w:lineRule="auto"/>
        <w:tabs>
          <w:tab w:leader="none" w:pos="54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5"/>
          <w:szCs w:val="15"/>
          <w:color w:val="auto"/>
        </w:rPr>
      </w:pPr>
    </w:p>
    <w:p>
      <w:pPr>
        <w:ind w:left="1100" w:right="20" w:hanging="281"/>
        <w:spacing w:after="0" w:line="326" w:lineRule="auto"/>
        <w:tabs>
          <w:tab w:leader="none" w:pos="1115"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5"/>
          <w:szCs w:val="15"/>
          <w:color w:val="auto"/>
        </w:rPr>
      </w:pPr>
    </w:p>
    <w:p>
      <w:pPr>
        <w:ind w:left="1100" w:hanging="281"/>
        <w:spacing w:after="0" w:line="326" w:lineRule="auto"/>
        <w:tabs>
          <w:tab w:leader="none" w:pos="1103" w:val="left"/>
        </w:tabs>
        <w:numPr>
          <w:ilvl w:val="1"/>
          <w:numId w:val="18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Date: May 8, 2026</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/s/ Luke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31115</wp:posOffset>
            </wp:positionV>
            <wp:extent cx="29819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981960" cy="6985"/>
                    </a:xfrm>
                    <a:prstGeom prst="rect">
                      <a:avLst/>
                    </a:prstGeom>
                    <a:noFill/>
                  </pic:spPr>
                </pic:pic>
              </a:graphicData>
            </a:graphic>
          </wp:anchor>
        </w:drawing>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Luke Power</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Senior Vice President, Chief Financial Officer, and Chief Accounting</w:t>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Officer</w:t>
      </w:r>
    </w:p>
    <w:p>
      <w:pPr>
        <w:spacing w:after="0" w:line="43" w:lineRule="exact"/>
        <w:rPr>
          <w:sz w:val="20"/>
          <w:szCs w:val="20"/>
          <w:color w:val="auto"/>
        </w:rPr>
      </w:pPr>
    </w:p>
    <w:p>
      <w:pPr>
        <w:ind w:left="6300"/>
        <w:spacing w:after="0"/>
        <w:rPr>
          <w:sz w:val="20"/>
          <w:szCs w:val="20"/>
          <w:color w:val="auto"/>
        </w:rPr>
      </w:pPr>
      <w:r>
        <w:rPr>
          <w:rFonts w:ascii="Arial" w:cs="Arial" w:eastAsia="Arial" w:hAnsi="Arial"/>
          <w:sz w:val="15"/>
          <w:szCs w:val="15"/>
          <w:i w:val="1"/>
          <w:iCs w:val="1"/>
          <w:color w:val="auto"/>
        </w:rPr>
        <w:t>(Principal Financial and Accounting Officer)</w:t>
      </w:r>
    </w:p>
    <w:p>
      <w:pPr>
        <w:sectPr>
          <w:pgSz w:w="11900" w:h="16838" w:orient="portrait"/>
          <w:cols w:equalWidth="0" w:num="1">
            <w:col w:w="11260"/>
          </w:cols>
          <w:pgMar w:left="320" w:top="124"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4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3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4" w:lineRule="exact"/>
        <w:rPr>
          <w:sz w:val="20"/>
          <w:szCs w:val="20"/>
          <w:color w:val="auto"/>
        </w:rPr>
      </w:pPr>
    </w:p>
    <w:p>
      <w:pPr>
        <w:jc w:val="both"/>
        <w:ind w:right="20"/>
        <w:spacing w:after="0" w:line="307" w:lineRule="auto"/>
        <w:rPr>
          <w:sz w:val="20"/>
          <w:szCs w:val="20"/>
          <w:color w:val="auto"/>
        </w:rPr>
      </w:pPr>
      <w:r>
        <w:rPr>
          <w:rFonts w:ascii="Arial" w:cs="Arial" w:eastAsia="Arial" w:hAnsi="Arial"/>
          <w:sz w:val="15"/>
          <w:szCs w:val="15"/>
          <w:color w:val="auto"/>
        </w:rPr>
        <w:t>In connection with the Quarterly Report on Form 10-Q of Caris Life Sciences, Inc. (the "Company") for the fiscal period ended March 31, 2026, as filed with the Securities and Exchange Commission on the date hereof (the "Report"), I hereby certify, pursuant to 18 U.S.C. Section 1350, as adopted pursuant to Section 906 of the Sarbanes-Oxley Act of 2002, that, to the best of my knowledge:</w:t>
      </w:r>
    </w:p>
    <w:p>
      <w:pPr>
        <w:spacing w:after="0" w:line="73" w:lineRule="exact"/>
        <w:rPr>
          <w:sz w:val="20"/>
          <w:szCs w:val="20"/>
          <w:color w:val="auto"/>
        </w:rPr>
      </w:pPr>
    </w:p>
    <w:p>
      <w:pPr>
        <w:ind w:left="540" w:hanging="273"/>
        <w:spacing w:after="0"/>
        <w:tabs>
          <w:tab w:leader="none" w:pos="5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60" w:lineRule="exact"/>
        <w:rPr>
          <w:rFonts w:ascii="Arial" w:cs="Arial" w:eastAsia="Arial" w:hAnsi="Arial"/>
          <w:sz w:val="15"/>
          <w:szCs w:val="15"/>
          <w:color w:val="auto"/>
        </w:rPr>
      </w:pPr>
    </w:p>
    <w:p>
      <w:pPr>
        <w:ind w:left="540" w:hanging="273"/>
        <w:spacing w:after="0"/>
        <w:tabs>
          <w:tab w:leader="none" w:pos="5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Date: May 8, 2026</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/s/ David Dean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31115</wp:posOffset>
            </wp:positionV>
            <wp:extent cx="29819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981960" cy="6985"/>
                    </a:xfrm>
                    <a:prstGeom prst="rect">
                      <a:avLst/>
                    </a:prstGeom>
                    <a:noFill/>
                  </pic:spPr>
                </pic:pic>
              </a:graphicData>
            </a:graphic>
          </wp:anchor>
        </w:drawing>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David Dean Halbert</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Founder, Chairman and Chief Executive Officer</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124" w:right="3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4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3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4" w:lineRule="exact"/>
        <w:rPr>
          <w:sz w:val="20"/>
          <w:szCs w:val="20"/>
          <w:color w:val="auto"/>
        </w:rPr>
      </w:pPr>
    </w:p>
    <w:p>
      <w:pPr>
        <w:jc w:val="both"/>
        <w:ind w:right="20"/>
        <w:spacing w:after="0" w:line="307" w:lineRule="auto"/>
        <w:rPr>
          <w:sz w:val="20"/>
          <w:szCs w:val="20"/>
          <w:color w:val="auto"/>
        </w:rPr>
      </w:pPr>
      <w:r>
        <w:rPr>
          <w:rFonts w:ascii="Arial" w:cs="Arial" w:eastAsia="Arial" w:hAnsi="Arial"/>
          <w:sz w:val="15"/>
          <w:szCs w:val="15"/>
          <w:color w:val="auto"/>
        </w:rPr>
        <w:t>In connection with the Quarterly Report on Form 10-Q of Caris Life Sciences, Inc. (the "Company") for the fiscal period ended March 31, 2026, as filed with the Securities and Exchange Commission on the date hereof (the "Report"), I hereby certify, pursuant to 18 U.S.C. Section 1350, as adopted pursuant to Section 906 of the Sarbanes-Oxley Act of 2002, that, to the best of my knowledge:</w:t>
      </w:r>
    </w:p>
    <w:p>
      <w:pPr>
        <w:spacing w:after="0" w:line="73" w:lineRule="exact"/>
        <w:rPr>
          <w:sz w:val="20"/>
          <w:szCs w:val="20"/>
          <w:color w:val="auto"/>
        </w:rPr>
      </w:pPr>
    </w:p>
    <w:p>
      <w:pPr>
        <w:ind w:left="540" w:hanging="273"/>
        <w:spacing w:after="0"/>
        <w:tabs>
          <w:tab w:leader="none" w:pos="5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60" w:lineRule="exact"/>
        <w:rPr>
          <w:rFonts w:ascii="Arial" w:cs="Arial" w:eastAsia="Arial" w:hAnsi="Arial"/>
          <w:sz w:val="15"/>
          <w:szCs w:val="15"/>
          <w:color w:val="auto"/>
        </w:rPr>
      </w:pPr>
    </w:p>
    <w:p>
      <w:pPr>
        <w:ind w:left="540" w:hanging="273"/>
        <w:spacing w:after="0"/>
        <w:tabs>
          <w:tab w:leader="none" w:pos="5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Date: May 8, 2026</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/s/ Luke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31115</wp:posOffset>
            </wp:positionV>
            <wp:extent cx="29819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981960" cy="6985"/>
                    </a:xfrm>
                    <a:prstGeom prst="rect">
                      <a:avLst/>
                    </a:prstGeom>
                    <a:noFill/>
                  </pic:spPr>
                </pic:pic>
              </a:graphicData>
            </a:graphic>
          </wp:anchor>
        </w:drawing>
      </w:r>
    </w:p>
    <w:p>
      <w:pPr>
        <w:spacing w:after="0" w:line="49"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Luke Power</w:t>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Senior Vice President, Chief Financial Officer, and Chief Accounting</w:t>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Officer</w:t>
      </w:r>
    </w:p>
    <w:p>
      <w:pPr>
        <w:spacing w:after="0" w:line="43" w:lineRule="exact"/>
        <w:rPr>
          <w:sz w:val="20"/>
          <w:szCs w:val="20"/>
          <w:color w:val="auto"/>
        </w:rPr>
      </w:pPr>
    </w:p>
    <w:p>
      <w:pPr>
        <w:ind w:left="6300"/>
        <w:spacing w:after="0"/>
        <w:rPr>
          <w:sz w:val="20"/>
          <w:szCs w:val="20"/>
          <w:color w:val="auto"/>
        </w:rPr>
      </w:pPr>
      <w:r>
        <w:rPr>
          <w:rFonts w:ascii="Arial" w:cs="Arial" w:eastAsia="Arial" w:hAnsi="Arial"/>
          <w:sz w:val="15"/>
          <w:szCs w:val="15"/>
          <w:i w:val="1"/>
          <w:iCs w:val="1"/>
          <w:color w:val="auto"/>
        </w:rPr>
        <w:t>(Principal Financial and Accounting Officer)</w:t>
      </w:r>
    </w:p>
    <w:sectPr>
      <w:pgSz w:w="11900" w:h="16838" w:orient="portrait"/>
      <w:cols w:equalWidth="0" w:num="1">
        <w:col w:w="11260"/>
      </w:cols>
      <w:pgMar w:left="320" w:top="1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1)"/>
      <w:numFmt w:val="decimal"/>
      <w:start w:val="1"/>
    </w:lvl>
  </w:abstractNum>
  <w:abstractNum w:abstractNumId="8">
    <w:nsid w:val="6A5F7029"/>
    <w:multiLevelType w:val="hybridMultilevel"/>
    <w:lvl w:ilvl="0">
      <w:lvlJc w:val="left"/>
      <w:lvlText w:val="(%1)"/>
      <w:numFmt w:val="lowerRoman"/>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1)"/>
      <w:numFmt w:val="lowerRoman"/>
      <w:start w:val="1"/>
    </w:lvl>
  </w:abstractNum>
  <w:abstractNum w:abstractNumId="21">
    <w:nsid w:val="5092CA79"/>
    <w:multiLevelType w:val="hybridMultilevel"/>
    <w:lvl w:ilvl="0">
      <w:lvlJc w:val="left"/>
      <w:lvlText w:val="(%1)"/>
      <w:numFmt w:val="lowerLetter"/>
      <w:start w:val="1"/>
    </w:lvl>
  </w:abstractNum>
  <w:abstractNum w:abstractNumId="22">
    <w:nsid w:val="1D545C4D"/>
    <w:multiLevelType w:val="hybridMultilevel"/>
    <w:lvl w:ilvl="0">
      <w:lvlJc w:val="left"/>
      <w:lvlText w:val="(%1)"/>
      <w:numFmt w:val="lowerLetter"/>
      <w:start w:val="1"/>
    </w:lvl>
    <w:lvl w:ilvl="1">
      <w:lvlJc w:val="left"/>
      <w:lvlText w:val="-"/>
      <w:numFmt w:val="bullet"/>
      <w:start w:val="1"/>
    </w:lvl>
  </w:abstractNum>
  <w:abstractNum w:abstractNumId="23">
    <w:nsid w:val="59ADEA3D"/>
    <w:multiLevelType w:val="hybridMultilevel"/>
    <w:lvl w:ilvl="0">
      <w:lvlJc w:val="left"/>
      <w:lvlText w:val="(%1)"/>
      <w:numFmt w:val="lowerRoman"/>
      <w:start w:val="2"/>
    </w:lvl>
  </w:abstractNum>
  <w:abstractNum w:abstractNumId="24">
    <w:nsid w:val="288F1A34"/>
    <w:multiLevelType w:val="hybridMultilevel"/>
    <w:lvl w:ilvl="0">
      <w:lvlJc w:val="left"/>
      <w:lvlText w:val="(%1)"/>
      <w:numFmt w:val="lowerLetter"/>
      <w:start w:val="1"/>
    </w:lvl>
  </w:abstractNum>
  <w:abstractNum w:abstractNumId="25">
    <w:nsid w:val="2A155DBC"/>
    <w:multiLevelType w:val="hybridMultilevel"/>
    <w:lvl w:ilvl="0">
      <w:lvlJc w:val="left"/>
      <w:lvlText w:val="(%1)"/>
      <w:numFmt w:val="lowerLetter"/>
      <w:start w:val="1"/>
    </w:lvl>
  </w:abstractNum>
  <w:abstractNum w:abstractNumId="26">
    <w:nsid w:val="1D9F6E5F"/>
    <w:multiLevelType w:val="hybridMultilevel"/>
    <w:lvl w:ilvl="0">
      <w:lvlJc w:val="left"/>
      <w:lvlText w:val="(%1)"/>
      <w:numFmt w:val="lowerLetter"/>
      <w:start w:val="6"/>
    </w:lvl>
  </w:abstractNum>
  <w:abstractNum w:abstractNumId="27">
    <w:nsid w:val="97E1B4E"/>
    <w:multiLevelType w:val="hybridMultilevel"/>
    <w:lvl w:ilvl="0">
      <w:lvlJc w:val="left"/>
      <w:lvlText w:val="(%1)"/>
      <w:numFmt w:val="lowerLetter"/>
      <w:start w:val="1"/>
    </w:lvl>
  </w:abstractNum>
  <w:abstractNum w:abstractNumId="28">
    <w:nsid w:val="51088277"/>
    <w:multiLevelType w:val="hybridMultilevel"/>
    <w:lvl w:ilvl="0">
      <w:lvlJc w:val="left"/>
      <w:lvlText w:val="(%1)"/>
      <w:numFmt w:val="lowerLetter"/>
      <w:start w:val="1"/>
    </w:lvl>
  </w:abstractNum>
  <w:abstractNum w:abstractNumId="29">
    <w:nsid w:val="1CA0C5FA"/>
    <w:multiLevelType w:val="hybridMultilevel"/>
    <w:lvl w:ilvl="0">
      <w:lvlJc w:val="left"/>
      <w:lvlText w:val="(%1)"/>
      <w:numFmt w:val="lowerRoman"/>
      <w:start w:val="2"/>
    </w:lvl>
  </w:abstractNum>
  <w:abstractNum w:abstractNumId="30">
    <w:nsid w:val="53584BCB"/>
    <w:multiLevelType w:val="hybridMultilevel"/>
    <w:lvl w:ilvl="0">
      <w:lvlJc w:val="left"/>
      <w:lvlText w:val="(%1)"/>
      <w:numFmt w:val="lowerLetter"/>
      <w:start w:val="4"/>
    </w:lvl>
  </w:abstractNum>
  <w:abstractNum w:abstractNumId="31">
    <w:nsid w:val="415E286C"/>
    <w:multiLevelType w:val="hybridMultilevel"/>
    <w:lvl w:ilvl="0">
      <w:lvlJc w:val="left"/>
      <w:lvlText w:val="(%1)"/>
      <w:numFmt w:val="upperLetter"/>
      <w:start w:val="2"/>
    </w:lvl>
    <w:lvl w:ilvl="1">
      <w:lvlJc w:val="left"/>
      <w:lvlText w:val="-"/>
      <w:numFmt w:val="bullet"/>
      <w:start w:val="1"/>
    </w:lvl>
  </w:abstractNum>
  <w:abstractNum w:abstractNumId="32">
    <w:nsid w:val="7C58FD05"/>
    <w:multiLevelType w:val="hybridMultilevel"/>
    <w:lvl w:ilvl="0">
      <w:lvlJc w:val="left"/>
      <w:lvlText w:val="(%1)"/>
      <w:numFmt w:val="lowerLetter"/>
      <w:start w:val="1"/>
    </w:lvl>
    <w:lvl w:ilvl="1">
      <w:lvlJc w:val="left"/>
      <w:lvlText w:val="-"/>
      <w:numFmt w:val="bullet"/>
      <w:start w:val="1"/>
    </w:lvl>
  </w:abstractNum>
  <w:abstractNum w:abstractNumId="33">
    <w:nsid w:val="23D86AAC"/>
    <w:multiLevelType w:val="hybridMultilevel"/>
    <w:lvl w:ilvl="0">
      <w:lvlJc w:val="left"/>
      <w:lvlText w:val="(%1)"/>
      <w:numFmt w:val="lowerLetter"/>
      <w:start w:val="8"/>
    </w:lvl>
  </w:abstractNum>
  <w:abstractNum w:abstractNumId="34">
    <w:nsid w:val="45E6D486"/>
    <w:multiLevelType w:val="hybridMultilevel"/>
    <w:lvl w:ilvl="0">
      <w:lvlJc w:val="left"/>
      <w:lvlText w:val="(%1)"/>
      <w:numFmt w:val="lowerLetter"/>
      <w:start w:val="1"/>
    </w:lvl>
    <w:lvl w:ilvl="1">
      <w:lvlJc w:val="left"/>
      <w:lvlText w:val="-"/>
      <w:numFmt w:val="bullet"/>
      <w:start w:val="1"/>
    </w:lvl>
  </w:abstractNum>
  <w:abstractNum w:abstractNumId="35">
    <w:nsid w:val="5C10FE21"/>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36">
    <w:nsid w:val="E7FFA2B"/>
    <w:multiLevelType w:val="hybridMultilevel"/>
    <w:lvl w:ilvl="0">
      <w:lvlJc w:val="left"/>
      <w:lvlText w:val="(%1)"/>
      <w:numFmt w:val="lowerLetter"/>
      <w:start w:val="9"/>
    </w:lvl>
    <w:lvl w:ilvl="1">
      <w:lvlJc w:val="left"/>
      <w:lvlText w:val="(%2)"/>
      <w:numFmt w:val="lowerLetter"/>
      <w:start w:val="11"/>
    </w:lvl>
    <w:lvl w:ilvl="2">
      <w:lvlJc w:val="left"/>
      <w:lvlText w:val="-"/>
      <w:numFmt w:val="bullet"/>
      <w:start w:val="1"/>
    </w:lvl>
  </w:abstractNum>
  <w:abstractNum w:abstractNumId="37">
    <w:nsid w:val="3C5991AA"/>
    <w:multiLevelType w:val="hybridMultilevel"/>
    <w:lvl w:ilvl="0">
      <w:lvlJc w:val="left"/>
      <w:lvlText w:val="(%1)"/>
      <w:numFmt w:val="lowerLetter"/>
      <w:start w:val="19"/>
    </w:lvl>
  </w:abstractNum>
  <w:abstractNum w:abstractNumId="38">
    <w:nsid w:val="4BD8591A"/>
    <w:multiLevelType w:val="hybridMultilevel"/>
    <w:lvl w:ilvl="0">
      <w:lvlJc w:val="left"/>
      <w:lvlText w:val="(%1)"/>
      <w:numFmt w:val="lowerLetter"/>
      <w:start w:val="1"/>
    </w:lvl>
    <w:lvl w:ilvl="1">
      <w:lvlJc w:val="left"/>
      <w:lvlText w:val="-"/>
      <w:numFmt w:val="bullet"/>
      <w:start w:val="1"/>
    </w:lvl>
  </w:abstractNum>
  <w:abstractNum w:abstractNumId="39">
    <w:nsid w:val="78DF6A55"/>
    <w:multiLevelType w:val="hybridMultilevel"/>
    <w:lvl w:ilvl="0">
      <w:lvlJc w:val="left"/>
      <w:lvlText w:val="(%1)"/>
      <w:numFmt w:val="lowerLetter"/>
      <w:start w:val="15"/>
    </w:lvl>
  </w:abstractNum>
  <w:abstractNum w:abstractNumId="40">
    <w:nsid w:val="39B7AAA2"/>
    <w:multiLevelType w:val="hybridMultilevel"/>
    <w:lvl w:ilvl="0">
      <w:lvlJc w:val="left"/>
      <w:lvlText w:val="(%1)"/>
      <w:numFmt w:val="lowerLetter"/>
      <w:start w:val="1"/>
    </w:lvl>
    <w:lvl w:ilvl="1">
      <w:lvlJc w:val="left"/>
      <w:lvlText w:val="-"/>
      <w:numFmt w:val="bullet"/>
      <w:start w:val="1"/>
    </w:lvl>
  </w:abstractNum>
  <w:abstractNum w:abstractNumId="41">
    <w:nsid w:val="2B0D8DBE"/>
    <w:multiLevelType w:val="hybridMultilevel"/>
    <w:lvl w:ilvl="0">
      <w:lvlJc w:val="left"/>
      <w:lvlText w:val="%1"/>
      <w:numFmt w:val="lowerLetter"/>
      <w:start w:val="1"/>
    </w:lvl>
    <w:lvl w:ilvl="1">
      <w:lvlJc w:val="left"/>
      <w:lvlText w:val="(%2)"/>
      <w:numFmt w:val="lowerLetter"/>
      <w:start w:val="13"/>
    </w:lvl>
    <w:lvl w:ilvl="2">
      <w:lvlJc w:val="left"/>
      <w:lvlText w:val="-"/>
      <w:numFmt w:val="bullet"/>
      <w:start w:val="1"/>
    </w:lvl>
  </w:abstractNum>
  <w:abstractNum w:abstractNumId="42">
    <w:nsid w:val="6C80EC70"/>
    <w:multiLevelType w:val="hybridMultilevel"/>
    <w:lvl w:ilvl="0">
      <w:lvlJc w:val="left"/>
      <w:lvlText w:val="(%1)"/>
      <w:numFmt w:val="lowerLetter"/>
      <w:start w:val="25"/>
    </w:lvl>
    <w:lvl w:ilvl="1">
      <w:lvlJc w:val="left"/>
      <w:lvlText w:val="(%2)"/>
      <w:numFmt w:val="lowerLetter"/>
      <w:start w:val="16"/>
    </w:lvl>
    <w:lvl w:ilvl="2">
      <w:lvlJc w:val="left"/>
      <w:lvlText w:val="-"/>
      <w:numFmt w:val="bullet"/>
      <w:start w:val="1"/>
    </w:lvl>
  </w:abstractNum>
  <w:abstractNum w:abstractNumId="43">
    <w:nsid w:val="379E21B5"/>
    <w:multiLevelType w:val="hybridMultilevel"/>
    <w:lvl w:ilvl="0">
      <w:lvlJc w:val="left"/>
      <w:lvlText w:val="(%1)"/>
      <w:numFmt w:val="lowerLetter"/>
      <w:start w:val="22"/>
    </w:lvl>
  </w:abstractNum>
  <w:abstractNum w:abstractNumId="44">
    <w:nsid w:val="69E373"/>
    <w:multiLevelType w:val="hybridMultilevel"/>
    <w:lvl w:ilvl="0">
      <w:lvlJc w:val="left"/>
      <w:lvlText w:val="(%1)"/>
      <w:numFmt w:val="lowerLetter"/>
      <w:start w:val="27"/>
    </w:lvl>
  </w:abstractNum>
  <w:abstractNum w:abstractNumId="45">
    <w:nsid w:val="2C27173B"/>
    <w:multiLevelType w:val="hybridMultilevel"/>
    <w:lvl w:ilvl="0">
      <w:lvlJc w:val="left"/>
      <w:lvlText w:val="(%1)"/>
      <w:numFmt w:val="lowerLetter"/>
      <w:start w:val="1"/>
    </w:lvl>
    <w:lvl w:ilvl="1">
      <w:lvlJc w:val="left"/>
      <w:lvlText w:val="-"/>
      <w:numFmt w:val="bullet"/>
      <w:start w:val="1"/>
    </w:lvl>
  </w:abstractNum>
  <w:abstractNum w:abstractNumId="46">
    <w:nsid w:val="4C9B0904"/>
    <w:multiLevelType w:val="hybridMultilevel"/>
    <w:lvl w:ilvl="0">
      <w:lvlJc w:val="left"/>
      <w:lvlText w:val="(%1)"/>
      <w:numFmt w:val="lowerLetter"/>
      <w:start w:val="3"/>
    </w:lvl>
  </w:abstractNum>
  <w:abstractNum w:abstractNumId="47">
    <w:nsid w:val="6AA7B75C"/>
    <w:multiLevelType w:val="hybridMultilevel"/>
    <w:lvl w:ilvl="0">
      <w:lvlJc w:val="left"/>
      <w:lvlText w:val="(%1)"/>
      <w:numFmt w:val="lowerLetter"/>
      <w:start w:val="1"/>
    </w:lvl>
  </w:abstractNum>
  <w:abstractNum w:abstractNumId="48">
    <w:nsid w:val="1DF029D3"/>
    <w:multiLevelType w:val="hybridMultilevel"/>
    <w:lvl w:ilvl="0">
      <w:lvlJc w:val="left"/>
      <w:lvlText w:val="(%1)"/>
      <w:numFmt w:val="lowerLetter"/>
      <w:start w:val="3"/>
    </w:lvl>
  </w:abstractNum>
  <w:abstractNum w:abstractNumId="49">
    <w:nsid w:val="5675FF36"/>
    <w:multiLevelType w:val="hybridMultilevel"/>
    <w:lvl w:ilvl="0">
      <w:lvlJc w:val="left"/>
      <w:lvlText w:val="(%1)"/>
      <w:numFmt w:val="lowerLetter"/>
      <w:start w:val="1"/>
    </w:lvl>
    <w:lvl w:ilvl="1">
      <w:lvlJc w:val="left"/>
      <w:lvlText w:val="-"/>
      <w:numFmt w:val="bullet"/>
      <w:start w:val="1"/>
    </w:lvl>
  </w:abstractNum>
  <w:abstractNum w:abstractNumId="50">
    <w:nsid w:val="3DD15094"/>
    <w:multiLevelType w:val="hybridMultilevel"/>
    <w:lvl w:ilvl="0">
      <w:lvlJc w:val="left"/>
      <w:lvlText w:val="(%1)"/>
      <w:numFmt w:val="lowerLetter"/>
      <w:start w:val="1"/>
    </w:lvl>
  </w:abstractNum>
  <w:abstractNum w:abstractNumId="51">
    <w:nsid w:val="3DB012B3"/>
    <w:multiLevelType w:val="hybridMultilevel"/>
    <w:lvl w:ilvl="0">
      <w:lvlJc w:val="left"/>
      <w:lvlText w:val="(%1)"/>
      <w:numFmt w:val="lowerLetter"/>
      <w:start w:val="1"/>
    </w:lvl>
    <w:lvl w:ilvl="1">
      <w:lvlJc w:val="left"/>
      <w:lvlText w:val="-"/>
      <w:numFmt w:val="bullet"/>
      <w:start w:val="1"/>
    </w:lvl>
  </w:abstractNum>
  <w:abstractNum w:abstractNumId="52">
    <w:nsid w:val="2708C9AF"/>
    <w:multiLevelType w:val="hybridMultilevel"/>
    <w:lvl w:ilvl="0">
      <w:lvlJc w:val="left"/>
      <w:lvlText w:val="(%1)"/>
      <w:numFmt w:val="lowerLetter"/>
      <w:start w:val="2"/>
    </w:lvl>
  </w:abstractNum>
  <w:abstractNum w:abstractNumId="53">
    <w:nsid w:val="5B25ACE2"/>
    <w:multiLevelType w:val="hybridMultilevel"/>
    <w:lvl w:ilvl="0">
      <w:lvlJc w:val="left"/>
      <w:lvlText w:val="(%1)"/>
      <w:numFmt w:val="lowerLetter"/>
      <w:start w:val="1"/>
    </w:lvl>
    <w:lvl w:ilvl="1">
      <w:lvlJc w:val="left"/>
      <w:lvlText w:val="(%2)"/>
      <w:numFmt w:val="lowerRoman"/>
      <w:start w:val="1"/>
    </w:lvl>
  </w:abstractNum>
  <w:abstractNum w:abstractNumId="54">
    <w:nsid w:val="175DFCF0"/>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5">
    <w:nsid w:val="4F97E3E4"/>
    <w:multiLevelType w:val="hybridMultilevel"/>
    <w:lvl w:ilvl="0">
      <w:lvlJc w:val="left"/>
      <w:lvlText w:val="%1"/>
      <w:numFmt w:val="lowerLetter"/>
      <w:start w:val="1"/>
    </w:lvl>
    <w:lvl w:ilvl="1">
      <w:lvlJc w:val="left"/>
      <w:lvlText w:val="(%2)"/>
      <w:numFmt w:val="lowerLetter"/>
      <w:start w:val="35"/>
    </w:lvl>
  </w:abstractNum>
  <w:abstractNum w:abstractNumId="56">
    <w:nsid w:val="53B0A9E"/>
    <w:multiLevelType w:val="hybridMultilevel"/>
    <w:lvl w:ilvl="0">
      <w:lvlJc w:val="left"/>
      <w:lvlText w:val="(%1)"/>
      <w:numFmt w:val="lowerLetter"/>
      <w:start w:val="3"/>
    </w:lvl>
    <w:lvl w:ilvl="1">
      <w:lvlJc w:val="left"/>
      <w:lvlText w:val="(%2)"/>
      <w:numFmt w:val="lowerLetter"/>
      <w:start w:val="9"/>
    </w:lvl>
  </w:abstractNum>
  <w:abstractNum w:abstractNumId="57">
    <w:nsid w:val="34FD6B4F"/>
    <w:multiLevelType w:val="hybridMultilevel"/>
    <w:lvl w:ilvl="0">
      <w:lvlJc w:val="left"/>
      <w:lvlText w:val="(%1)"/>
      <w:numFmt w:val="lowerRoman"/>
      <w:start w:val="2"/>
    </w:lvl>
    <w:lvl w:ilvl="1">
      <w:lvlJc w:val="left"/>
      <w:lvlText w:val="-"/>
      <w:numFmt w:val="bullet"/>
      <w:start w:val="1"/>
    </w:lvl>
  </w:abstractNum>
  <w:abstractNum w:abstractNumId="58">
    <w:nsid w:val="5915FF32"/>
    <w:multiLevelType w:val="hybridMultilevel"/>
    <w:lvl w:ilvl="0">
      <w:lvlJc w:val="left"/>
      <w:lvlText w:val="(%1)"/>
      <w:numFmt w:val="lowerLetter"/>
      <w:start w:val="1"/>
    </w:lvl>
    <w:lvl w:ilvl="1">
      <w:lvlJc w:val="left"/>
      <w:lvlText w:val="-"/>
      <w:numFmt w:val="bullet"/>
      <w:start w:val="1"/>
    </w:lvl>
  </w:abstractNum>
  <w:abstractNum w:abstractNumId="59">
    <w:nsid w:val="56438D15"/>
    <w:multiLevelType w:val="hybridMultilevel"/>
    <w:lvl w:ilvl="0">
      <w:lvlJc w:val="left"/>
      <w:lvlText w:val="(%1)"/>
      <w:numFmt w:val="lowerLetter"/>
      <w:start w:val="1"/>
    </w:lvl>
    <w:lvl w:ilvl="1">
      <w:lvlJc w:val="left"/>
      <w:lvlText w:val="-"/>
      <w:numFmt w:val="bullet"/>
      <w:start w:val="1"/>
    </w:lvl>
  </w:abstractNum>
  <w:abstractNum w:abstractNumId="60">
    <w:nsid w:val="519E3149"/>
    <w:multiLevelType w:val="hybridMultilevel"/>
    <w:lvl w:ilvl="0">
      <w:lvlJc w:val="left"/>
      <w:lvlText w:val="(%1)"/>
      <w:numFmt w:val="lowerLetter"/>
      <w:start w:val="6"/>
    </w:lvl>
  </w:abstractNum>
  <w:abstractNum w:abstractNumId="61">
    <w:nsid w:val="2C6E4AFD"/>
    <w:multiLevelType w:val="hybridMultilevel"/>
    <w:lvl w:ilvl="0">
      <w:lvlJc w:val="left"/>
      <w:lvlText w:val="(%1)"/>
      <w:numFmt w:val="lowerLetter"/>
      <w:start w:val="1"/>
    </w:lvl>
  </w:abstractNum>
  <w:abstractNum w:abstractNumId="62">
    <w:nsid w:val="17A1B582"/>
    <w:multiLevelType w:val="hybridMultilevel"/>
    <w:lvl w:ilvl="0">
      <w:lvlJc w:val="left"/>
      <w:lvlText w:val="%1"/>
      <w:numFmt w:val="lowerLetter"/>
      <w:start w:val="1"/>
    </w:lvl>
    <w:lvl w:ilvl="1">
      <w:lvlJc w:val="left"/>
      <w:lvlText w:val="(%2)"/>
      <w:numFmt w:val="lowerRoman"/>
      <w:start w:val="1"/>
    </w:lvl>
  </w:abstractNum>
  <w:abstractNum w:abstractNumId="63">
    <w:nsid w:val="4DF72E4E"/>
    <w:multiLevelType w:val="hybridMultilevel"/>
    <w:lvl w:ilvl="0">
      <w:lvlJc w:val="left"/>
      <w:lvlText w:val="(%1)"/>
      <w:numFmt w:val="lowerLetter"/>
      <w:start w:val="2"/>
    </w:lvl>
    <w:lvl w:ilvl="1">
      <w:lvlJc w:val="left"/>
      <w:lvlText w:val="%2"/>
      <w:numFmt w:val="lowerRoman"/>
      <w:start w:val="1"/>
    </w:lvl>
  </w:abstractNum>
  <w:abstractNum w:abstractNumId="64">
    <w:nsid w:val="5046B5A9"/>
    <w:multiLevelType w:val="hybridMultilevel"/>
    <w:lvl w:ilvl="0">
      <w:lvlJc w:val="left"/>
      <w:lvlText w:val="(%1)"/>
      <w:numFmt w:val="lowerLetter"/>
      <w:start w:val="1"/>
    </w:lvl>
  </w:abstractNum>
  <w:abstractNum w:abstractNumId="65">
    <w:nsid w:val="5D888A08"/>
    <w:multiLevelType w:val="hybridMultilevel"/>
    <w:lvl w:ilvl="0">
      <w:lvlJc w:val="left"/>
      <w:lvlText w:val="(%1)"/>
      <w:numFmt w:val="lowerLetter"/>
      <w:start w:val="2"/>
    </w:lvl>
    <w:lvl w:ilvl="1">
      <w:lvlJc w:val="left"/>
      <w:lvlText w:val="-"/>
      <w:numFmt w:val="bullet"/>
      <w:start w:val="1"/>
    </w:lvl>
  </w:abstractNum>
  <w:abstractNum w:abstractNumId="66">
    <w:nsid w:val="2A082C70"/>
    <w:multiLevelType w:val="hybridMultilevel"/>
    <w:lvl w:ilvl="0">
      <w:lvlJc w:val="left"/>
      <w:lvlText w:val="(%1)"/>
      <w:numFmt w:val="lowerLetter"/>
      <w:start w:val="1"/>
    </w:lvl>
  </w:abstractNum>
  <w:abstractNum w:abstractNumId="67">
    <w:nsid w:val="5EC6AF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8">
    <w:nsid w:val="19E21BB2"/>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9">
    <w:nsid w:val="75E0858A"/>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70">
    <w:nsid w:val="57A61A29"/>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71">
    <w:nsid w:val="5399C654"/>
    <w:multiLevelType w:val="hybridMultilevel"/>
    <w:lvl w:ilvl="0">
      <w:lvlJc w:val="left"/>
      <w:lvlText w:val="(%1)"/>
      <w:numFmt w:val="lowerLetter"/>
      <w:start w:val="5"/>
    </w:lvl>
  </w:abstractNum>
  <w:abstractNum w:abstractNumId="72">
    <w:nsid w:val="20EE1348"/>
    <w:multiLevelType w:val="hybridMultilevel"/>
    <w:lvl w:ilvl="0">
      <w:lvlJc w:val="left"/>
      <w:lvlText w:val="(%1)"/>
      <w:numFmt w:val="lowerLetter"/>
      <w:start w:val="1"/>
    </w:lvl>
  </w:abstractNum>
  <w:abstractNum w:abstractNumId="73">
    <w:nsid w:val="4427069A"/>
    <w:multiLevelType w:val="hybridMultilevel"/>
    <w:lvl w:ilvl="0">
      <w:lvlJc w:val="left"/>
      <w:lvlText w:val="(%1)"/>
      <w:numFmt w:val="lowerLetter"/>
      <w:start w:val="2"/>
    </w:lvl>
    <w:lvl w:ilvl="1">
      <w:lvlJc w:val="left"/>
      <w:lvlText w:val="-"/>
      <w:numFmt w:val="bullet"/>
      <w:start w:val="1"/>
    </w:lvl>
  </w:abstractNum>
  <w:abstractNum w:abstractNumId="74">
    <w:nsid w:val="B37E80A"/>
    <w:multiLevelType w:val="hybridMultilevel"/>
    <w:lvl w:ilvl="0">
      <w:lvlJc w:val="left"/>
      <w:lvlText w:val="(%1)"/>
      <w:numFmt w:val="lowerLetter"/>
      <w:start w:val="3"/>
    </w:lvl>
  </w:abstractNum>
  <w:abstractNum w:abstractNumId="75">
    <w:nsid w:val="2157F6BC"/>
    <w:multiLevelType w:val="hybridMultilevel"/>
    <w:lvl w:ilvl="0">
      <w:lvlJc w:val="left"/>
      <w:lvlText w:val="(%1)"/>
      <w:numFmt w:val="lowerLetter"/>
      <w:start w:val="1"/>
    </w:lvl>
    <w:lvl w:ilvl="1">
      <w:lvlJc w:val="left"/>
      <w:lvlText w:val="-"/>
      <w:numFmt w:val="bullet"/>
      <w:start w:val="1"/>
    </w:lvl>
  </w:abstractNum>
  <w:abstractNum w:abstractNumId="76">
    <w:nsid w:val="704E1DD5"/>
    <w:multiLevelType w:val="hybridMultilevel"/>
    <w:lvl w:ilvl="0">
      <w:lvlJc w:val="left"/>
      <w:lvlText w:val="(%1)"/>
      <w:numFmt w:val="lowerLetter"/>
      <w:start w:val="7"/>
    </w:lvl>
    <w:lvl w:ilvl="1">
      <w:lvlJc w:val="left"/>
      <w:lvlText w:val="-"/>
      <w:numFmt w:val="bullet"/>
      <w:start w:val="1"/>
    </w:lvl>
  </w:abstractNum>
  <w:abstractNum w:abstractNumId="77">
    <w:nsid w:val="57D2F10E"/>
    <w:multiLevelType w:val="hybridMultilevel"/>
    <w:lvl w:ilvl="0">
      <w:lvlJc w:val="left"/>
      <w:lvlText w:val="(%1)"/>
      <w:numFmt w:val="lowerLetter"/>
      <w:start w:val="10"/>
    </w:lvl>
  </w:abstractNum>
  <w:abstractNum w:abstractNumId="78">
    <w:nsid w:val="BFFAE18"/>
    <w:multiLevelType w:val="hybridMultilevel"/>
    <w:lvl w:ilvl="0">
      <w:lvlJc w:val="left"/>
      <w:lvlText w:val="(%1)"/>
      <w:numFmt w:val="lowerLetter"/>
      <w:start w:val="1"/>
    </w:lvl>
    <w:lvl w:ilvl="1">
      <w:lvlJc w:val="left"/>
      <w:lvlText w:val="-"/>
      <w:numFmt w:val="bullet"/>
      <w:start w:val="1"/>
    </w:lvl>
  </w:abstractNum>
  <w:abstractNum w:abstractNumId="79">
    <w:nsid w:val="E3E47A8"/>
    <w:multiLevelType w:val="hybridMultilevel"/>
    <w:lvl w:ilvl="0">
      <w:lvlJc w:val="left"/>
      <w:lvlText w:val="(%1)"/>
      <w:numFmt w:val="lowerLetter"/>
      <w:start w:val="2"/>
    </w:lvl>
  </w:abstractNum>
  <w:abstractNum w:abstractNumId="80">
    <w:nsid w:val="2E48F044"/>
    <w:multiLevelType w:val="hybridMultilevel"/>
    <w:lvl w:ilvl="0">
      <w:lvlJc w:val="left"/>
      <w:lvlText w:val="(%1)"/>
      <w:numFmt w:val="lowerLetter"/>
      <w:start w:val="1"/>
    </w:lvl>
    <w:lvl w:ilvl="1">
      <w:lvlJc w:val="left"/>
      <w:lvlText w:val="-"/>
      <w:numFmt w:val="bullet"/>
      <w:start w:val="1"/>
    </w:lvl>
  </w:abstractNum>
  <w:abstractNum w:abstractNumId="81">
    <w:nsid w:val="49D0FEA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2">
    <w:nsid w:val="4BEE5A5B"/>
    <w:multiLevelType w:val="hybridMultilevel"/>
    <w:lvl w:ilvl="0">
      <w:lvlJc w:val="left"/>
      <w:lvlText w:val="%1"/>
      <w:numFmt w:val="upperLetter"/>
      <w:start w:val="1"/>
    </w:lvl>
    <w:lvl w:ilvl="1">
      <w:lvlJc w:val="left"/>
      <w:lvlText w:val="(%2)"/>
      <w:numFmt w:val="lowerRoman"/>
      <w:start w:val="1"/>
    </w:lvl>
  </w:abstractNum>
  <w:abstractNum w:abstractNumId="83">
    <w:nsid w:val="5551B9F3"/>
    <w:multiLevelType w:val="hybridMultilevel"/>
    <w:lvl w:ilvl="0">
      <w:lvlJc w:val="left"/>
      <w:lvlText w:val="(%1)"/>
      <w:numFmt w:val="upperLetter"/>
      <w:start w:val="1"/>
    </w:lvl>
    <w:lvl w:ilvl="1">
      <w:lvlJc w:val="left"/>
      <w:lvlText w:val="%2"/>
      <w:numFmt w:val="lowerRoman"/>
      <w:start w:val="1"/>
    </w:lvl>
  </w:abstractNum>
  <w:abstractNum w:abstractNumId="84">
    <w:nsid w:val="24F6AB8E"/>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85">
    <w:nsid w:val="634C574C"/>
    <w:multiLevelType w:val="hybridMultilevel"/>
    <w:lvl w:ilvl="0">
      <w:lvlJc w:val="left"/>
      <w:lvlText w:val="(%1)"/>
      <w:numFmt w:val="upperLetter"/>
      <w:start w:val="2"/>
    </w:lvl>
    <w:lvl w:ilvl="1">
      <w:lvlJc w:val="left"/>
      <w:lvlText w:val="(%2)"/>
      <w:numFmt w:val="decimal"/>
      <w:start w:val="4"/>
    </w:lvl>
    <w:lvl w:ilvl="2">
      <w:lvlJc w:val="left"/>
      <w:lvlText w:val="-"/>
      <w:numFmt w:val="bullet"/>
      <w:start w:val="1"/>
    </w:lvl>
  </w:abstractNum>
  <w:abstractNum w:abstractNumId="86">
    <w:nsid w:val="24E99DD7"/>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87">
    <w:nsid w:val="2A31B62D"/>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88">
    <w:nsid w:val="1849C29B"/>
    <w:multiLevelType w:val="hybridMultilevel"/>
    <w:lvl w:ilvl="0">
      <w:lvlJc w:val="left"/>
      <w:lvlText w:val="(%1)"/>
      <w:numFmt w:val="lowerLetter"/>
      <w:start w:val="1"/>
    </w:lvl>
    <w:lvl w:ilvl="1">
      <w:lvlJc w:val="left"/>
      <w:lvlText w:val="(%2)"/>
      <w:numFmt w:val="lowerRoman"/>
      <w:start w:val="1"/>
    </w:lvl>
  </w:abstractNum>
  <w:abstractNum w:abstractNumId="89">
    <w:nsid w:val="7DFF9D09"/>
    <w:multiLevelType w:val="hybridMultilevel"/>
    <w:lvl w:ilvl="0">
      <w:lvlJc w:val="left"/>
      <w:lvlText w:val="(%1)"/>
      <w:numFmt w:val="lowerLetter"/>
      <w:start w:val="2"/>
    </w:lvl>
    <w:lvl w:ilvl="1">
      <w:lvlJc w:val="left"/>
      <w:lvlText w:val="-"/>
      <w:numFmt w:val="bullet"/>
      <w:start w:val="1"/>
    </w:lvl>
  </w:abstractNum>
  <w:abstractNum w:abstractNumId="90">
    <w:nsid w:val="754342"/>
    <w:multiLevelType w:val="hybridMultilevel"/>
    <w:lvl w:ilvl="0">
      <w:lvlJc w:val="left"/>
      <w:lvlText w:val="(%1)"/>
      <w:numFmt w:val="lowerLetter"/>
      <w:start w:val="3"/>
    </w:lvl>
    <w:lvl w:ilvl="1">
      <w:lvlJc w:val="left"/>
      <w:lvlText w:val="(%2)"/>
      <w:numFmt w:val="lowerLetter"/>
      <w:start w:val="3"/>
    </w:lvl>
  </w:abstractNum>
  <w:abstractNum w:abstractNumId="91">
    <w:nsid w:val="69E7F3E5"/>
    <w:multiLevelType w:val="hybridMultilevel"/>
    <w:lvl w:ilvl="0">
      <w:lvlJc w:val="left"/>
      <w:lvlText w:val="(%1)"/>
      <w:numFmt w:val="lowerLetter"/>
      <w:start w:val="1"/>
    </w:lvl>
    <w:lvl w:ilvl="1">
      <w:lvlJc w:val="left"/>
      <w:lvlText w:val="-"/>
      <w:numFmt w:val="bullet"/>
      <w:start w:val="1"/>
    </w:lvl>
  </w:abstractNum>
  <w:abstractNum w:abstractNumId="92">
    <w:nsid w:val="2A6DE806"/>
    <w:multiLevelType w:val="hybridMultilevel"/>
    <w:lvl w:ilvl="0">
      <w:lvlJc w:val="left"/>
      <w:lvlText w:val="(%1)"/>
      <w:numFmt w:val="lowerLetter"/>
      <w:start w:val="3"/>
    </w:lvl>
  </w:abstractNum>
  <w:abstractNum w:abstractNumId="93">
    <w:nsid w:val="1816F8C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4">
    <w:nsid w:val="37DF2233"/>
    <w:multiLevelType w:val="hybridMultilevel"/>
    <w:lvl w:ilvl="0">
      <w:lvlJc w:val="left"/>
      <w:lvlText w:val="(%1)"/>
      <w:numFmt w:val="lowerLetter"/>
      <w:start w:val="7"/>
    </w:lvl>
  </w:abstractNum>
  <w:abstractNum w:abstractNumId="95">
    <w:nsid w:val="7AB49DAF"/>
    <w:multiLevelType w:val="hybridMultilevel"/>
    <w:lvl w:ilvl="0">
      <w:lvlJc w:val="left"/>
      <w:lvlText w:val="(%1)"/>
      <w:numFmt w:val="lowerLetter"/>
      <w:start w:val="1"/>
    </w:lvl>
    <w:lvl w:ilvl="1">
      <w:lvlJc w:val="left"/>
      <w:lvlText w:val="-"/>
      <w:numFmt w:val="bullet"/>
      <w:start w:val="1"/>
    </w:lvl>
  </w:abstractNum>
  <w:abstractNum w:abstractNumId="96">
    <w:nsid w:val="759F82C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97">
    <w:nsid w:val="61E74EA3"/>
    <w:multiLevelType w:val="hybridMultilevel"/>
    <w:lvl w:ilvl="0">
      <w:lvlJc w:val="left"/>
      <w:lvlText w:val="(%1)"/>
      <w:numFmt w:val="lowerLetter"/>
      <w:start w:val="12"/>
    </w:lvl>
    <w:lvl w:ilvl="1">
      <w:lvlJc w:val="left"/>
      <w:lvlText w:val="-"/>
      <w:numFmt w:val="bullet"/>
      <w:start w:val="1"/>
    </w:lvl>
  </w:abstractNum>
  <w:abstractNum w:abstractNumId="98">
    <w:nsid w:val="597B4D84"/>
    <w:multiLevelType w:val="hybridMultilevel"/>
    <w:lvl w:ilvl="0">
      <w:lvlJc w:val="left"/>
      <w:lvlText w:val="(%1)"/>
      <w:numFmt w:val="lowerLetter"/>
      <w:start w:val="1"/>
    </w:lvl>
  </w:abstractNum>
  <w:abstractNum w:abstractNumId="99">
    <w:nsid w:val="F819E7F"/>
    <w:multiLevelType w:val="hybridMultilevel"/>
    <w:lvl w:ilvl="0">
      <w:lvlJc w:val="left"/>
      <w:lvlText w:val="(%1)"/>
      <w:numFmt w:val="lowerLetter"/>
      <w:start w:val="1"/>
    </w:lvl>
    <w:lvl w:ilvl="1">
      <w:lvlJc w:val="left"/>
      <w:lvlText w:val="-"/>
      <w:numFmt w:val="bullet"/>
      <w:start w:val="1"/>
    </w:lvl>
  </w:abstractNum>
  <w:abstractNum w:abstractNumId="100">
    <w:nsid w:val="57C7D42D"/>
    <w:multiLevelType w:val="hybridMultilevel"/>
    <w:lvl w:ilvl="0">
      <w:lvlJc w:val="left"/>
      <w:lvlText w:val="(%1)"/>
      <w:numFmt w:val="lowerRoman"/>
      <w:start w:val="3"/>
    </w:lvl>
  </w:abstractNum>
  <w:abstractNum w:abstractNumId="101">
    <w:nsid w:val="312167AD"/>
    <w:multiLevelType w:val="hybridMultilevel"/>
    <w:lvl w:ilvl="0">
      <w:lvlJc w:val="left"/>
      <w:lvlText w:val="(%1)"/>
      <w:numFmt w:val="lowerLetter"/>
      <w:start w:val="1"/>
    </w:lvl>
  </w:abstractNum>
  <w:abstractNum w:abstractNumId="102">
    <w:nsid w:val="631B64D4"/>
    <w:multiLevelType w:val="hybridMultilevel"/>
    <w:lvl w:ilvl="0">
      <w:lvlJc w:val="left"/>
      <w:lvlText w:val="(%1)"/>
      <w:numFmt w:val="lowerRoman"/>
      <w:start w:val="2"/>
    </w:lvl>
  </w:abstractNum>
  <w:abstractNum w:abstractNumId="103">
    <w:nsid w:val="78B5E776"/>
    <w:multiLevelType w:val="hybridMultilevel"/>
    <w:lvl w:ilvl="0">
      <w:lvlJc w:val="left"/>
      <w:lvlText w:val="(%1)"/>
      <w:numFmt w:val="lowerLetter"/>
      <w:start w:val="1"/>
    </w:lvl>
    <w:lvl w:ilvl="1">
      <w:lvlJc w:val="left"/>
      <w:lvlText w:val="-"/>
      <w:numFmt w:val="bullet"/>
      <w:start w:val="1"/>
    </w:lvl>
  </w:abstractNum>
  <w:abstractNum w:abstractNumId="104">
    <w:nsid w:val="75486E47"/>
    <w:multiLevelType w:val="hybridMultilevel"/>
    <w:lvl w:ilvl="0">
      <w:lvlJc w:val="left"/>
      <w:lvlText w:val="(%1)"/>
      <w:numFmt w:val="lowerLetter"/>
      <w:start w:val="2"/>
    </w:lvl>
    <w:lvl w:ilvl="1">
      <w:lvlJc w:val="left"/>
      <w:lvlText w:val="-"/>
      <w:numFmt w:val="bullet"/>
      <w:start w:val="1"/>
    </w:lvl>
  </w:abstractNum>
  <w:abstractNum w:abstractNumId="105">
    <w:nsid w:val="6E534CDE"/>
    <w:multiLevelType w:val="hybridMultilevel"/>
    <w:lvl w:ilvl="0">
      <w:lvlJc w:val="left"/>
      <w:lvlText w:val="(%1)"/>
      <w:numFmt w:val="lowerLetter"/>
      <w:start w:val="8"/>
    </w:lvl>
    <w:lvl w:ilvl="1">
      <w:lvlJc w:val="left"/>
      <w:lvlText w:val="-"/>
      <w:numFmt w:val="bullet"/>
      <w:start w:val="1"/>
    </w:lvl>
  </w:abstractNum>
  <w:abstractNum w:abstractNumId="106">
    <w:nsid w:val="1A0DDE32"/>
    <w:multiLevelType w:val="hybridMultilevel"/>
    <w:lvl w:ilvl="0">
      <w:lvlJc w:val="left"/>
      <w:lvlText w:val="(%1)"/>
      <w:numFmt w:val="lowerLetter"/>
      <w:start w:val="1"/>
    </w:lvl>
    <w:lvl w:ilvl="1">
      <w:lvlJc w:val="left"/>
      <w:lvlText w:val="-"/>
      <w:numFmt w:val="bullet"/>
      <w:start w:val="1"/>
    </w:lvl>
  </w:abstractNum>
  <w:abstractNum w:abstractNumId="107">
    <w:nsid w:val="65968C1C"/>
    <w:multiLevelType w:val="hybridMultilevel"/>
    <w:lvl w:ilvl="0">
      <w:lvlJc w:val="left"/>
      <w:lvlText w:val="(%1)"/>
      <w:numFmt w:val="lowerLetter"/>
      <w:start w:val="3"/>
    </w:lvl>
    <w:lvl w:ilvl="1">
      <w:lvlJc w:val="left"/>
      <w:lvlText w:val="-"/>
      <w:numFmt w:val="bullet"/>
      <w:start w:val="1"/>
    </w:lvl>
  </w:abstractNum>
  <w:abstractNum w:abstractNumId="108">
    <w:nsid w:val="46263DEC"/>
    <w:multiLevelType w:val="hybridMultilevel"/>
    <w:lvl w:ilvl="0">
      <w:lvlJc w:val="left"/>
      <w:lvlText w:val="[***]"/>
      <w:numFmt w:val="bullet"/>
      <w:start w:val="1"/>
    </w:lvl>
    <w:lvl w:ilvl="1">
      <w:lvlJc w:val="left"/>
      <w:lvlText w:val="(%2)"/>
      <w:numFmt w:val="lowerLetter"/>
      <w:start w:val="5"/>
    </w:lvl>
    <w:lvl w:ilvl="2">
      <w:lvlJc w:val="left"/>
      <w:lvlText w:val="-"/>
      <w:numFmt w:val="bullet"/>
      <w:start w:val="1"/>
    </w:lvl>
  </w:abstractNum>
  <w:abstractNum w:abstractNumId="109">
    <w:nsid w:val="260D8C4A"/>
    <w:multiLevelType w:val="hybridMultilevel"/>
    <w:lvl w:ilvl="0">
      <w:lvlJc w:val="left"/>
      <w:lvlText w:val="[***]"/>
      <w:numFmt w:val="bullet"/>
      <w:start w:val="1"/>
    </w:lvl>
    <w:lvl w:ilvl="1">
      <w:lvlJc w:val="left"/>
      <w:lvlText w:val="(%2)"/>
      <w:numFmt w:val="lowerLetter"/>
      <w:start w:val="8"/>
    </w:lvl>
    <w:lvl w:ilvl="2">
      <w:lvlJc w:val="left"/>
      <w:lvlText w:val="-"/>
      <w:numFmt w:val="bullet"/>
      <w:start w:val="1"/>
    </w:lvl>
  </w:abstractNum>
  <w:abstractNum w:abstractNumId="110">
    <w:nsid w:val="73D4D3C4"/>
    <w:multiLevelType w:val="hybridMultilevel"/>
    <w:lvl w:ilvl="0">
      <w:lvlJc w:val="left"/>
      <w:lvlText w:val="(%1)"/>
      <w:numFmt w:val="lowerLetter"/>
      <w:start w:val="9"/>
    </w:lvl>
  </w:abstractNum>
  <w:abstractNum w:abstractNumId="111">
    <w:nsid w:val="746F2E30"/>
    <w:multiLevelType w:val="hybridMultilevel"/>
    <w:lvl w:ilvl="0">
      <w:lvlJc w:val="left"/>
      <w:lvlText w:val="(%1)"/>
      <w:numFmt w:val="lowerLetter"/>
      <w:start w:val="1"/>
    </w:lvl>
    <w:lvl w:ilvl="1">
      <w:lvlJc w:val="left"/>
      <w:lvlText w:val="-"/>
      <w:numFmt w:val="bullet"/>
      <w:start w:val="1"/>
    </w:lvl>
  </w:abstractNum>
  <w:abstractNum w:abstractNumId="112">
    <w:nsid w:val="6FDE8AF6"/>
    <w:multiLevelType w:val="hybridMultilevel"/>
    <w:lvl w:ilvl="0">
      <w:lvlJc w:val="left"/>
      <w:lvlText w:val="(%1)"/>
      <w:numFmt w:val="lowerLetter"/>
      <w:start w:val="1"/>
    </w:lvl>
    <w:lvl w:ilvl="1">
      <w:lvlJc w:val="left"/>
      <w:lvlText w:val="-"/>
      <w:numFmt w:val="bullet"/>
      <w:start w:val="1"/>
    </w:lvl>
  </w:abstractNum>
  <w:abstractNum w:abstractNumId="113">
    <w:nsid w:val="3FC32E20"/>
    <w:multiLevelType w:val="hybridMultilevel"/>
    <w:lvl w:ilvl="0">
      <w:lvlJc w:val="left"/>
      <w:lvlText w:val="(%1)"/>
      <w:numFmt w:val="lowerLetter"/>
      <w:start w:val="4"/>
    </w:lvl>
  </w:abstractNum>
  <w:abstractNum w:abstractNumId="114">
    <w:nsid w:val="49C0E823"/>
    <w:multiLevelType w:val="hybridMultilevel"/>
    <w:lvl w:ilvl="0">
      <w:lvlJc w:val="left"/>
      <w:lvlText w:val="(%1)"/>
      <w:numFmt w:val="lowerLetter"/>
      <w:start w:val="1"/>
    </w:lvl>
    <w:lvl w:ilvl="1">
      <w:lvlJc w:val="left"/>
      <w:lvlText w:val="-"/>
      <w:numFmt w:val="bullet"/>
      <w:start w:val="1"/>
    </w:lvl>
  </w:abstractNum>
  <w:abstractNum w:abstractNumId="115">
    <w:nsid w:val="14D53685"/>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116">
    <w:nsid w:val="230F856C"/>
    <w:multiLevelType w:val="hybridMultilevel"/>
    <w:lvl w:ilvl="0">
      <w:lvlJc w:val="left"/>
      <w:lvlText w:val="(%1)"/>
      <w:numFmt w:val="lowerLetter"/>
      <w:start w:val="9"/>
    </w:lvl>
    <w:lvl w:ilvl="1">
      <w:lvlJc w:val="left"/>
      <w:lvlText w:val="(%2)"/>
      <w:numFmt w:val="lowerLetter"/>
      <w:start w:val="7"/>
    </w:lvl>
    <w:lvl w:ilvl="2">
      <w:lvlJc w:val="left"/>
      <w:lvlText w:val="-"/>
      <w:numFmt w:val="bullet"/>
      <w:start w:val="1"/>
    </w:lvl>
  </w:abstractNum>
  <w:abstractNum w:abstractNumId="117">
    <w:nsid w:val="6EAA85FB"/>
    <w:multiLevelType w:val="hybridMultilevel"/>
    <w:lvl w:ilvl="0">
      <w:lvlJc w:val="left"/>
      <w:lvlText w:val="(%1)"/>
      <w:numFmt w:val="lowerLetter"/>
      <w:start w:val="9"/>
    </w:lvl>
    <w:lvl w:ilvl="1">
      <w:lvlJc w:val="left"/>
      <w:lvlText w:val="-"/>
      <w:numFmt w:val="bullet"/>
      <w:start w:val="1"/>
    </w:lvl>
  </w:abstractNum>
  <w:abstractNum w:abstractNumId="118">
    <w:nsid w:val="3F06ECB2"/>
    <w:multiLevelType w:val="hybridMultilevel"/>
    <w:lvl w:ilvl="0">
      <w:lvlJc w:val="left"/>
      <w:lvlText w:val="(%1)"/>
      <w:numFmt w:val="lowerLetter"/>
      <w:start w:val="1"/>
    </w:lvl>
    <w:lvl w:ilvl="1">
      <w:lvlJc w:val="left"/>
      <w:lvlText w:val="-"/>
      <w:numFmt w:val="bullet"/>
      <w:start w:val="1"/>
    </w:lvl>
  </w:abstractNum>
  <w:abstractNum w:abstractNumId="119">
    <w:nsid w:val="3B594807"/>
    <w:multiLevelType w:val="hybridMultilevel"/>
    <w:lvl w:ilvl="0">
      <w:lvlJc w:val="left"/>
      <w:lvlText w:val="(%1)"/>
      <w:numFmt w:val="lowerLetter"/>
      <w:start w:val="1"/>
    </w:lvl>
  </w:abstractNum>
  <w:abstractNum w:abstractNumId="120">
    <w:nsid w:val="6CAA2304"/>
    <w:multiLevelType w:val="hybridMultilevel"/>
    <w:lvl w:ilvl="0">
      <w:lvlJc w:val="left"/>
      <w:lvlText w:val="(%1)"/>
      <w:numFmt w:val="lowerLetter"/>
      <w:start w:val="1"/>
    </w:lvl>
  </w:abstractNum>
  <w:abstractNum w:abstractNumId="121">
    <w:nsid w:val="3F7C2FF4"/>
    <w:multiLevelType w:val="hybridMultilevel"/>
    <w:lvl w:ilvl="0">
      <w:lvlJc w:val="left"/>
      <w:lvlText w:val="(%1)"/>
      <w:numFmt w:val="lowerLetter"/>
      <w:start w:val="1"/>
    </w:lvl>
    <w:lvl w:ilvl="1">
      <w:lvlJc w:val="left"/>
      <w:lvlText w:val="-"/>
      <w:numFmt w:val="bullet"/>
      <w:start w:val="1"/>
    </w:lvl>
  </w:abstractNum>
  <w:abstractNum w:abstractNumId="122">
    <w:nsid w:val="25413BEC"/>
    <w:multiLevelType w:val="hybridMultilevel"/>
    <w:lvl w:ilvl="0">
      <w:lvlJc w:val="left"/>
      <w:lvlText w:val="(%1)"/>
      <w:numFmt w:val="lowerLetter"/>
      <w:start w:val="2"/>
    </w:lvl>
  </w:abstractNum>
  <w:abstractNum w:abstractNumId="123">
    <w:nsid w:val="17180B0B"/>
    <w:multiLevelType w:val="hybridMultilevel"/>
    <w:lvl w:ilvl="0">
      <w:lvlJc w:val="left"/>
      <w:lvlText w:val="(%1)"/>
      <w:numFmt w:val="lowerLetter"/>
      <w:start w:val="1"/>
    </w:lvl>
    <w:lvl w:ilvl="1">
      <w:lvlJc w:val="left"/>
      <w:lvlText w:val="-"/>
      <w:numFmt w:val="bullet"/>
      <w:start w:val="1"/>
    </w:lvl>
  </w:abstractNum>
  <w:abstractNum w:abstractNumId="124">
    <w:nsid w:val="579328B9"/>
    <w:multiLevelType w:val="hybridMultilevel"/>
    <w:lvl w:ilvl="0">
      <w:lvlJc w:val="left"/>
      <w:lvlText w:val="(%1)"/>
      <w:numFmt w:val="lowerLetter"/>
      <w:start w:val="9"/>
    </w:lvl>
  </w:abstractNum>
  <w:abstractNum w:abstractNumId="125">
    <w:nsid w:val="5D205E20"/>
    <w:multiLevelType w:val="hybridMultilevel"/>
    <w:lvl w:ilvl="0">
      <w:lvlJc w:val="left"/>
      <w:lvlText w:val="(%1)"/>
      <w:numFmt w:val="lowerRoman"/>
      <w:start w:val="2"/>
    </w:lvl>
  </w:abstractNum>
  <w:abstractNum w:abstractNumId="126">
    <w:nsid w:val="11CCA8B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7">
    <w:nsid w:val="4D32AB86"/>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28">
    <w:nsid w:val="3F07ACC3"/>
    <w:multiLevelType w:val="hybridMultilevel"/>
    <w:lvl w:ilvl="0">
      <w:lvlJc w:val="left"/>
      <w:lvlText w:val="(%1)"/>
      <w:numFmt w:val="lowerLetter"/>
      <w:start w:val="25"/>
    </w:lvl>
    <w:lvl w:ilvl="1">
      <w:lvlJc w:val="left"/>
      <w:lvlText w:val="(%2)"/>
      <w:numFmt w:val="lowerRoman"/>
      <w:start w:val="13"/>
    </w:lvl>
    <w:lvl w:ilvl="2">
      <w:lvlJc w:val="left"/>
      <w:lvlText w:val="-"/>
      <w:numFmt w:val="bullet"/>
      <w:start w:val="1"/>
    </w:lvl>
  </w:abstractNum>
  <w:abstractNum w:abstractNumId="129">
    <w:nsid w:val="6B47F63E"/>
    <w:multiLevelType w:val="hybridMultilevel"/>
    <w:lvl w:ilvl="0">
      <w:lvlJc w:val="left"/>
      <w:lvlText w:val="(%1)"/>
      <w:numFmt w:val="lowerRoman"/>
      <w:start w:val="16"/>
    </w:lvl>
  </w:abstractNum>
  <w:abstractNum w:abstractNumId="130">
    <w:nsid w:val="5CB44A05"/>
    <w:multiLevelType w:val="hybridMultilevel"/>
    <w:lvl w:ilvl="0">
      <w:lvlJc w:val="left"/>
      <w:lvlText w:val="(%1)"/>
      <w:numFmt w:val="lowerLetter"/>
      <w:start w:val="1"/>
    </w:lvl>
    <w:lvl w:ilvl="1">
      <w:lvlJc w:val="left"/>
      <w:lvlText w:val="-"/>
      <w:numFmt w:val="bullet"/>
      <w:start w:val="1"/>
    </w:lvl>
  </w:abstractNum>
  <w:abstractNum w:abstractNumId="131">
    <w:nsid w:val="16CF80F1"/>
    <w:multiLevelType w:val="hybridMultilevel"/>
    <w:lvl w:ilvl="0">
      <w:lvlJc w:val="left"/>
      <w:lvlText w:val="(%1)"/>
      <w:numFmt w:val="lowerLetter"/>
      <w:start w:val="2"/>
    </w:lvl>
  </w:abstractNum>
  <w:abstractNum w:abstractNumId="132">
    <w:nsid w:val="1C695DEC"/>
    <w:multiLevelType w:val="hybridMultilevel"/>
    <w:lvl w:ilvl="0">
      <w:lvlJc w:val="left"/>
      <w:lvlText w:val="(%1)"/>
      <w:numFmt w:val="lowerLetter"/>
      <w:start w:val="1"/>
    </w:lvl>
  </w:abstractNum>
  <w:abstractNum w:abstractNumId="133">
    <w:nsid w:val="3FCFAED9"/>
    <w:multiLevelType w:val="hybridMultilevel"/>
    <w:lvl w:ilvl="0">
      <w:lvlJc w:val="left"/>
      <w:lvlText w:val="(%1)"/>
      <w:numFmt w:val="lowerRoman"/>
      <w:start w:val="2"/>
    </w:lvl>
  </w:abstractNum>
  <w:abstractNum w:abstractNumId="134">
    <w:nsid w:val="F856867"/>
    <w:multiLevelType w:val="hybridMultilevel"/>
    <w:lvl w:ilvl="0">
      <w:lvlJc w:val="left"/>
      <w:lvlText w:val="(%1)"/>
      <w:numFmt w:val="lowerLetter"/>
      <w:start w:val="1"/>
    </w:lvl>
    <w:lvl w:ilvl="1">
      <w:lvlJc w:val="left"/>
      <w:lvlText w:val="-"/>
      <w:numFmt w:val="bullet"/>
      <w:start w:val="1"/>
    </w:lvl>
  </w:abstractNum>
  <w:abstractNum w:abstractNumId="135">
    <w:nsid w:val="11B1CC33"/>
    <w:multiLevelType w:val="hybridMultilevel"/>
    <w:lvl w:ilvl="0">
      <w:lvlJc w:val="left"/>
      <w:lvlText w:val="(%1)"/>
      <w:numFmt w:val="lowerLetter"/>
      <w:start w:val="6"/>
    </w:lvl>
  </w:abstractNum>
  <w:abstractNum w:abstractNumId="136">
    <w:nsid w:val="2E22FBB7"/>
    <w:multiLevelType w:val="hybridMultilevel"/>
    <w:lvl w:ilvl="0">
      <w:lvlJc w:val="left"/>
      <w:lvlText w:val="(%1)"/>
      <w:numFmt w:val="lowerRoman"/>
      <w:start w:val="1"/>
    </w:lvl>
    <w:lvl w:ilvl="1">
      <w:lvlJc w:val="left"/>
      <w:lvlText w:val="-"/>
      <w:numFmt w:val="bullet"/>
      <w:start w:val="1"/>
    </w:lvl>
  </w:abstractNum>
  <w:abstractNum w:abstractNumId="137">
    <w:nsid w:val="29934699"/>
    <w:multiLevelType w:val="hybridMultilevel"/>
    <w:lvl w:ilvl="0">
      <w:lvlJc w:val="left"/>
      <w:lvlText w:val="(%1)"/>
      <w:numFmt w:val="lowerRoman"/>
      <w:start w:val="3"/>
    </w:lvl>
  </w:abstractNum>
  <w:abstractNum w:abstractNumId="138">
    <w:nsid w:val="77485850"/>
    <w:multiLevelType w:val="hybridMultilevel"/>
    <w:lvl w:ilvl="0">
      <w:lvlJc w:val="left"/>
      <w:lvlText w:val="(%1)"/>
      <w:numFmt w:val="lowerLetter"/>
      <w:start w:val="1"/>
    </w:lvl>
    <w:lvl w:ilvl="1">
      <w:lvlJc w:val="left"/>
      <w:lvlText w:val="-"/>
      <w:numFmt w:val="bullet"/>
      <w:start w:val="1"/>
    </w:lvl>
  </w:abstractNum>
  <w:abstractNum w:abstractNumId="139">
    <w:nsid w:val="744939A3"/>
    <w:multiLevelType w:val="hybridMultilevel"/>
    <w:lvl w:ilvl="0">
      <w:lvlJc w:val="left"/>
      <w:lvlText w:val="(%1)"/>
      <w:numFmt w:val="lowerLetter"/>
      <w:start w:val="3"/>
    </w:lvl>
  </w:abstractNum>
  <w:abstractNum w:abstractNumId="140">
    <w:nsid w:val="4FA0D2E3"/>
    <w:multiLevelType w:val="hybridMultilevel"/>
    <w:lvl w:ilvl="0">
      <w:lvlJc w:val="left"/>
      <w:lvlText w:val="(%1)"/>
      <w:numFmt w:val="lowerLetter"/>
      <w:start w:val="1"/>
    </w:lvl>
    <w:lvl w:ilvl="1">
      <w:lvlJc w:val="left"/>
      <w:lvlText w:val="-"/>
      <w:numFmt w:val="bullet"/>
      <w:start w:val="1"/>
    </w:lvl>
  </w:abstractNum>
  <w:abstractNum w:abstractNumId="141">
    <w:nsid w:val="6B1D2C14"/>
    <w:multiLevelType w:val="hybridMultilevel"/>
    <w:lvl w:ilvl="0">
      <w:lvlJc w:val="left"/>
      <w:lvlText w:val="(%1)"/>
      <w:numFmt w:val="lowerLetter"/>
      <w:start w:val="3"/>
    </w:lvl>
    <w:lvl w:ilvl="1">
      <w:lvlJc w:val="left"/>
      <w:lvlText w:val="-"/>
      <w:numFmt w:val="bullet"/>
      <w:start w:val="1"/>
    </w:lvl>
  </w:abstractNum>
  <w:abstractNum w:abstractNumId="142">
    <w:nsid w:val="68B867D3"/>
    <w:multiLevelType w:val="hybridMultilevel"/>
    <w:lvl w:ilvl="0">
      <w:lvlJc w:val="left"/>
      <w:lvlText w:val="(%1)"/>
      <w:numFmt w:val="lowerLetter"/>
      <w:start w:val="8"/>
    </w:lvl>
  </w:abstractNum>
  <w:abstractNum w:abstractNumId="143">
    <w:nsid w:val="3F7F5DD9"/>
    <w:multiLevelType w:val="hybridMultilevel"/>
    <w:lvl w:ilvl="0">
      <w:lvlJc w:val="left"/>
      <w:lvlText w:val="(%1)"/>
      <w:numFmt w:val="lowerLetter"/>
      <w:start w:val="1"/>
    </w:lvl>
    <w:lvl w:ilvl="1">
      <w:lvlJc w:val="left"/>
      <w:lvlText w:val="-"/>
      <w:numFmt w:val="bullet"/>
      <w:start w:val="1"/>
    </w:lvl>
  </w:abstractNum>
  <w:abstractNum w:abstractNumId="144">
    <w:nsid w:val="2AE05A34"/>
    <w:multiLevelType w:val="hybridMultilevel"/>
    <w:lvl w:ilvl="0">
      <w:lvlJc w:val="left"/>
      <w:lvlText w:val="(%1)"/>
      <w:numFmt w:val="lowerLetter"/>
      <w:start w:val="1"/>
    </w:lvl>
  </w:abstractNum>
  <w:abstractNum w:abstractNumId="145">
    <w:nsid w:val="32794FF7"/>
    <w:multiLevelType w:val="hybridMultilevel"/>
    <w:lvl w:ilvl="0">
      <w:lvlJc w:val="left"/>
      <w:lvlText w:val="(%1)"/>
      <w:numFmt w:val="lowerLetter"/>
      <w:start w:val="1"/>
    </w:lvl>
    <w:lvl w:ilvl="1">
      <w:lvlJc w:val="left"/>
      <w:lvlText w:val="-"/>
      <w:numFmt w:val="bullet"/>
      <w:start w:val="1"/>
    </w:lvl>
  </w:abstractNum>
  <w:abstractNum w:abstractNumId="146">
    <w:nsid w:val="5454945E"/>
    <w:multiLevelType w:val="hybridMultilevel"/>
    <w:lvl w:ilvl="0">
      <w:lvlJc w:val="left"/>
      <w:lvlText w:val="(%1)"/>
      <w:numFmt w:val="lowerLetter"/>
      <w:start w:val="2"/>
    </w:lvl>
  </w:abstractNum>
  <w:abstractNum w:abstractNumId="147">
    <w:nsid w:val="4DEFDFA0"/>
    <w:multiLevelType w:val="hybridMultilevel"/>
    <w:lvl w:ilvl="0">
      <w:lvlJc w:val="left"/>
      <w:lvlText w:val="(%1)"/>
      <w:numFmt w:val="lowerLetter"/>
      <w:start w:val="1"/>
    </w:lvl>
  </w:abstractNum>
  <w:abstractNum w:abstractNumId="148">
    <w:nsid w:val="2123D5F2"/>
    <w:multiLevelType w:val="hybridMultilevel"/>
    <w:lvl w:ilvl="0">
      <w:lvlJc w:val="left"/>
      <w:lvlText w:val="(%1)"/>
      <w:numFmt w:val="lowerLetter"/>
      <w:start w:val="1"/>
    </w:lvl>
    <w:lvl w:ilvl="1">
      <w:lvlJc w:val="left"/>
      <w:lvlText w:val="-"/>
      <w:numFmt w:val="bullet"/>
      <w:start w:val="1"/>
    </w:lvl>
  </w:abstractNum>
  <w:abstractNum w:abstractNumId="149">
    <w:nsid w:val="135B8110"/>
    <w:multiLevelType w:val="hybridMultilevel"/>
    <w:lvl w:ilvl="0">
      <w:lvlJc w:val="left"/>
      <w:lvlText w:val="(%1)"/>
      <w:numFmt w:val="lowerRoman"/>
      <w:start w:val="2"/>
    </w:lvl>
  </w:abstractNum>
  <w:abstractNum w:abstractNumId="150">
    <w:nsid w:val="94927A8"/>
    <w:multiLevelType w:val="hybridMultilevel"/>
    <w:lvl w:ilvl="0">
      <w:lvlJc w:val="left"/>
      <w:lvlText w:val="(%1)"/>
      <w:numFmt w:val="lowerLetter"/>
      <w:start w:val="1"/>
    </w:lvl>
  </w:abstractNum>
  <w:abstractNum w:abstractNumId="151">
    <w:nsid w:val="DCDF8F6"/>
    <w:multiLevelType w:val="hybridMultilevel"/>
    <w:lvl w:ilvl="0">
      <w:lvlJc w:val="left"/>
      <w:lvlText w:val="(%1)"/>
      <w:numFmt w:val="lowerLetter"/>
      <w:start w:val="1"/>
    </w:lvl>
  </w:abstractNum>
  <w:abstractNum w:abstractNumId="152">
    <w:nsid w:val="52D7B105"/>
    <w:multiLevelType w:val="hybridMultilevel"/>
    <w:lvl w:ilvl="0">
      <w:lvlJc w:val="left"/>
      <w:lvlText w:val="(%1)"/>
      <w:numFmt w:val="lowerLetter"/>
      <w:start w:val="1"/>
    </w:lvl>
    <w:lvl w:ilvl="1">
      <w:lvlJc w:val="left"/>
      <w:lvlText w:val="-"/>
      <w:numFmt w:val="bullet"/>
      <w:start w:val="1"/>
    </w:lvl>
  </w:abstractNum>
  <w:abstractNum w:abstractNumId="153">
    <w:nsid w:val="2E8A6394"/>
    <w:multiLevelType w:val="hybridMultilevel"/>
    <w:lvl w:ilvl="0">
      <w:lvlJc w:val="left"/>
      <w:lvlText w:val="(%1)"/>
      <w:numFmt w:val="lowerLetter"/>
      <w:start w:val="2"/>
    </w:lvl>
    <w:lvl w:ilvl="1">
      <w:lvlJc w:val="left"/>
      <w:lvlText w:val="(%2)"/>
      <w:numFmt w:val="lowerRoman"/>
      <w:start w:val="1"/>
    </w:lvl>
  </w:abstractNum>
  <w:abstractNum w:abstractNumId="154">
    <w:nsid w:val="24E60401"/>
    <w:multiLevelType w:val="hybridMultilevel"/>
    <w:lvl w:ilvl="0">
      <w:lvlJc w:val="left"/>
      <w:lvlText w:val="(%1)"/>
      <w:numFmt w:val="lowerLetter"/>
      <w:start w:val="3"/>
    </w:lvl>
    <w:lvl w:ilvl="1">
      <w:lvlJc w:val="left"/>
      <w:lvlText w:val="-"/>
      <w:numFmt w:val="bullet"/>
      <w:start w:val="1"/>
    </w:lvl>
  </w:abstractNum>
  <w:abstractNum w:abstractNumId="155">
    <w:nsid w:val="2A6AD9BE"/>
    <w:multiLevelType w:val="hybridMultilevel"/>
    <w:lvl w:ilvl="0">
      <w:lvlJc w:val="left"/>
      <w:lvlText w:val="(%1)"/>
      <w:numFmt w:val="lowerLetter"/>
      <w:start w:val="5"/>
    </w:lvl>
  </w:abstractNum>
  <w:abstractNum w:abstractNumId="156">
    <w:nsid w:val="BAAC1B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7">
    <w:nsid w:val="36B2ACBC"/>
    <w:multiLevelType w:val="hybridMultilevel"/>
    <w:lvl w:ilvl="0">
      <w:lvlJc w:val="left"/>
      <w:lvlText w:val="(%1)"/>
      <w:numFmt w:val="lowerLetter"/>
      <w:start w:val="1"/>
    </w:lvl>
  </w:abstractNum>
  <w:abstractNum w:abstractNumId="158">
    <w:nsid w:val="779D854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9">
    <w:nsid w:val="4AB26E78"/>
    <w:multiLevelType w:val="hybridMultilevel"/>
    <w:lvl w:ilvl="0">
      <w:lvlJc w:val="left"/>
      <w:lvlText w:val="%1"/>
      <w:numFmt w:val="lowerLetter"/>
      <w:start w:val="1"/>
    </w:lvl>
    <w:lvl w:ilvl="1">
      <w:lvlJc w:val="left"/>
      <w:lvlText w:val="(%2)"/>
      <w:numFmt w:val="lowerRoman"/>
      <w:start w:val="10"/>
    </w:lvl>
  </w:abstractNum>
  <w:abstractNum w:abstractNumId="160">
    <w:nsid w:val="21FAA2FA"/>
    <w:multiLevelType w:val="hybridMultilevel"/>
    <w:lvl w:ilvl="0">
      <w:lvlJc w:val="left"/>
      <w:lvlText w:val="(%1)"/>
      <w:numFmt w:val="lowerLetter"/>
      <w:start w:val="3"/>
    </w:lvl>
    <w:lvl w:ilvl="1">
      <w:lvlJc w:val="left"/>
      <w:lvlText w:val="%2"/>
      <w:numFmt w:val="lowerRoman"/>
      <w:start w:val="1"/>
    </w:lvl>
  </w:abstractNum>
  <w:abstractNum w:abstractNumId="161">
    <w:nsid w:val="5451CF49"/>
    <w:multiLevelType w:val="hybridMultilevel"/>
    <w:lvl w:ilvl="0">
      <w:lvlJc w:val="left"/>
      <w:lvlText w:val="(%1)"/>
      <w:numFmt w:val="lowerLetter"/>
      <w:start w:val="1"/>
    </w:lvl>
    <w:lvl w:ilvl="1">
      <w:lvlJc w:val="left"/>
      <w:lvlText w:val="-"/>
      <w:numFmt w:val="bullet"/>
      <w:start w:val="1"/>
    </w:lvl>
  </w:abstractNum>
  <w:abstractNum w:abstractNumId="162">
    <w:nsid w:val="6181EF69"/>
    <w:multiLevelType w:val="hybridMultilevel"/>
    <w:lvl w:ilvl="0">
      <w:lvlJc w:val="left"/>
      <w:lvlText w:val="(%1)"/>
      <w:numFmt w:val="lowerLetter"/>
      <w:start w:val="2"/>
    </w:lvl>
    <w:lvl w:ilvl="1">
      <w:lvlJc w:val="left"/>
      <w:lvlText w:val="(%2)"/>
      <w:numFmt w:val="lowerRoman"/>
      <w:start w:val="1"/>
    </w:lvl>
  </w:abstractNum>
  <w:abstractNum w:abstractNumId="163">
    <w:nsid w:val="3E6400E6"/>
    <w:multiLevelType w:val="hybridMultilevel"/>
    <w:lvl w:ilvl="0">
      <w:lvlJc w:val="left"/>
      <w:lvlText w:val="(%1)"/>
      <w:numFmt w:val="lowerLetter"/>
      <w:start w:val="4"/>
    </w:lvl>
    <w:lvl w:ilvl="1">
      <w:lvlJc w:val="left"/>
      <w:lvlText w:val="-"/>
      <w:numFmt w:val="bullet"/>
      <w:start w:val="1"/>
    </w:lvl>
  </w:abstractNum>
  <w:abstractNum w:abstractNumId="164">
    <w:nsid w:val="14217E2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65">
    <w:nsid w:val="710757D0"/>
    <w:multiLevelType w:val="hybridMultilevel"/>
    <w:lvl w:ilvl="0">
      <w:lvlJc w:val="left"/>
      <w:lvlText w:val="(%1)"/>
      <w:numFmt w:val="lowerRoman"/>
      <w:start w:val="1"/>
    </w:lvl>
    <w:lvl w:ilvl="1">
      <w:lvlJc w:val="left"/>
      <w:lvlText w:val="-"/>
      <w:numFmt w:val="bullet"/>
      <w:start w:val="1"/>
    </w:lvl>
  </w:abstractNum>
  <w:abstractNum w:abstractNumId="166">
    <w:nsid w:val="5015CD1A"/>
    <w:multiLevelType w:val="hybridMultilevel"/>
    <w:lvl w:ilvl="0">
      <w:lvlJc w:val="left"/>
      <w:lvlText w:val="(%1)"/>
      <w:numFmt w:val="lowerLetter"/>
      <w:start w:val="1"/>
    </w:lvl>
    <w:lvl w:ilvl="1">
      <w:lvlJc w:val="left"/>
      <w:lvlText w:val="-"/>
      <w:numFmt w:val="bullet"/>
      <w:start w:val="1"/>
    </w:lvl>
  </w:abstractNum>
  <w:abstractNum w:abstractNumId="167">
    <w:nsid w:val="424479DA"/>
    <w:multiLevelType w:val="hybridMultilevel"/>
    <w:lvl w:ilvl="0">
      <w:lvlJc w:val="left"/>
      <w:lvlText w:val="(%1)"/>
      <w:numFmt w:val="lowerLetter"/>
      <w:start w:val="1"/>
    </w:lvl>
    <w:lvl w:ilvl="1">
      <w:lvlJc w:val="left"/>
      <w:lvlText w:val="(%2)"/>
      <w:numFmt w:val="lowerRoman"/>
      <w:start w:val="1"/>
    </w:lvl>
  </w:abstractNum>
  <w:abstractNum w:abstractNumId="168">
    <w:nsid w:val="1A9A9E69"/>
    <w:multiLevelType w:val="hybridMultilevel"/>
    <w:lvl w:ilvl="0">
      <w:lvlJc w:val="left"/>
      <w:lvlText w:val="(%1)"/>
      <w:numFmt w:val="lowerLetter"/>
      <w:start w:val="1"/>
    </w:lvl>
  </w:abstractNum>
  <w:abstractNum w:abstractNumId="169">
    <w:nsid w:val="475E256A"/>
    <w:multiLevelType w:val="hybridMultilevel"/>
    <w:lvl w:ilvl="0">
      <w:lvlJc w:val="left"/>
      <w:lvlText w:val="%1"/>
      <w:numFmt w:val="lowerLetter"/>
      <w:start w:val="1"/>
    </w:lvl>
    <w:lvl w:ilvl="1">
      <w:lvlJc w:val="left"/>
      <w:lvlText w:val="(%2)"/>
      <w:numFmt w:val="lowerLetter"/>
      <w:start w:val="1"/>
    </w:lvl>
  </w:abstractNum>
  <w:abstractNum w:abstractNumId="170">
    <w:nsid w:val="368DB37E"/>
    <w:multiLevelType w:val="hybridMultilevel"/>
    <w:lvl w:ilvl="0">
      <w:lvlJc w:val="left"/>
      <w:lvlText w:val="(%1)"/>
      <w:numFmt w:val="lowerLetter"/>
      <w:start w:val="9"/>
    </w:lvl>
    <w:lvl w:ilvl="1">
      <w:lvlJc w:val="left"/>
      <w:lvlText w:val="%2"/>
      <w:numFmt w:val="lowerLetter"/>
      <w:start w:val="1"/>
    </w:lvl>
  </w:abstractNum>
  <w:abstractNum w:abstractNumId="171">
    <w:nsid w:val="6A3B714C"/>
    <w:multiLevelType w:val="hybridMultilevel"/>
    <w:lvl w:ilvl="0">
      <w:lvlJc w:val="left"/>
      <w:lvlText w:val="(%1)"/>
      <w:numFmt w:val="lowerLetter"/>
      <w:start w:val="3"/>
    </w:lvl>
  </w:abstractNum>
  <w:abstractNum w:abstractNumId="172">
    <w:nsid w:val="327B517E"/>
    <w:multiLevelType w:val="hybridMultilevel"/>
    <w:lvl w:ilvl="0">
      <w:lvlJc w:val="left"/>
      <w:lvlText w:val="(%1)"/>
      <w:numFmt w:val="lowerLetter"/>
      <w:start w:val="1"/>
    </w:lvl>
  </w:abstractNum>
  <w:abstractNum w:abstractNumId="173">
    <w:nsid w:val="1F461B51"/>
    <w:multiLevelType w:val="hybridMultilevel"/>
    <w:lvl w:ilvl="0">
      <w:lvlJc w:val="left"/>
      <w:lvlText w:val="(%1)"/>
      <w:numFmt w:val="lowerLetter"/>
      <w:start w:val="1"/>
    </w:lvl>
  </w:abstractNum>
  <w:abstractNum w:abstractNumId="174">
    <w:nsid w:val="29BACF25"/>
    <w:multiLevelType w:val="hybridMultilevel"/>
    <w:lvl w:ilvl="0">
      <w:lvlJc w:val="left"/>
      <w:lvlText w:val="(%1)"/>
      <w:numFmt w:val="lowerLetter"/>
      <w:start w:val="1"/>
    </w:lvl>
  </w:abstractNum>
  <w:abstractNum w:abstractNumId="175">
    <w:nsid w:val="5D5BABB3"/>
    <w:multiLevelType w:val="hybridMultilevel"/>
    <w:lvl w:ilvl="0">
      <w:lvlJc w:val="left"/>
      <w:lvlText w:val="(%1)"/>
      <w:numFmt w:val="lowerLetter"/>
      <w:start w:val="1"/>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lowerLetter"/>
      <w:start w:val="2"/>
    </w:lvl>
  </w:abstractNum>
  <w:abstractNum w:abstractNumId="178">
    <w:nsid w:val="2B4B8B53"/>
    <w:multiLevelType w:val="hybridMultilevel"/>
    <w:lvl w:ilvl="0">
      <w:lvlJc w:val="left"/>
      <w:lvlText w:val="%1."/>
      <w:numFmt w:val="upperLetter"/>
      <w:start w:val="1"/>
    </w:lvl>
  </w:abstractNum>
  <w:abstractNum w:abstractNumId="179">
    <w:nsid w:val="72E3413A"/>
    <w:multiLevelType w:val="hybridMultilevel"/>
    <w:lvl w:ilvl="0">
      <w:lvlJc w:val="left"/>
      <w:lvlText w:val="(%1)"/>
      <w:numFmt w:val="lowerLetter"/>
      <w:start w:val="1"/>
    </w:lvl>
  </w:abstractNum>
  <w:abstractNum w:abstractNumId="180">
    <w:nsid w:val="116AE494"/>
    <w:multiLevelType w:val="hybridMultilevel"/>
    <w:lvl w:ilvl="0">
      <w:lvlJc w:val="left"/>
      <w:lvlText w:val="%1"/>
      <w:numFmt w:val="lowerLetter"/>
      <w:start w:val="1"/>
    </w:lvl>
    <w:lvl w:ilvl="1">
      <w:lvlJc w:val="left"/>
      <w:lvlText w:val="(%2)"/>
      <w:numFmt w:val="lowerLetter"/>
      <w:start w:val="2"/>
    </w:lvl>
  </w:abstractNum>
  <w:abstractNum w:abstractNumId="181">
    <w:nsid w:val="3494B2FB"/>
    <w:multiLevelType w:val="hybridMultilevel"/>
    <w:lvl w:ilvl="0">
      <w:lvlJc w:val="left"/>
      <w:lvlText w:val="(%1)"/>
      <w:numFmt w:val="lowerLetter"/>
      <w:start w:val="9"/>
    </w:lvl>
    <w:lvl w:ilvl="1">
      <w:lvlJc w:val="left"/>
      <w:lvlText w:val="%2"/>
      <w:numFmt w:val="lowerLetter"/>
      <w:start w:val="1"/>
    </w:lvl>
  </w:abstractNum>
  <w:abstractNum w:abstractNumId="182">
    <w:nsid w:val="B13A31"/>
    <w:multiLevelType w:val="hybridMultilevel"/>
    <w:lvl w:ilvl="0">
      <w:lvlJc w:val="left"/>
      <w:lvlText w:val="(%1)"/>
      <w:numFmt w:val="lowerLetter"/>
      <w:start w:val="4"/>
    </w:lvl>
  </w:abstractNum>
  <w:abstractNum w:abstractNumId="183">
    <w:nsid w:val="64429599"/>
    <w:multiLevelType w:val="hybridMultilevel"/>
    <w:lvl w:ilvl="0">
      <w:lvlJc w:val="left"/>
      <w:lvlText w:val="(%1)"/>
      <w:numFmt w:val="lowerLetter"/>
      <w:start w:val="1"/>
    </w:lvl>
  </w:abstractNum>
  <w:abstractNum w:abstractNumId="184">
    <w:nsid w:val="631F1690"/>
    <w:multiLevelType w:val="hybridMultilevel"/>
    <w:lvl w:ilvl="0">
      <w:lvlJc w:val="left"/>
      <w:lvlText w:val="(%1)"/>
      <w:numFmt w:val="lowerRoman"/>
      <w:start w:val="1"/>
    </w:lvl>
  </w:abstractNum>
  <w:abstractNum w:abstractNumId="185">
    <w:nsid w:val="25973E32"/>
    <w:multiLevelType w:val="hybridMultilevel"/>
    <w:lvl w:ilvl="0">
      <w:lvlJc w:val="left"/>
      <w:lvlText w:val="(%1)"/>
      <w:numFmt w:val="lowerLetter"/>
      <w:start w:val="4"/>
    </w:lvl>
  </w:abstractNum>
  <w:abstractNum w:abstractNumId="186">
    <w:nsid w:val="EAD6F57"/>
    <w:multiLevelType w:val="hybridMultilevel"/>
    <w:lvl w:ilvl="0">
      <w:lvlJc w:val="left"/>
      <w:lvlText w:val="(%1)"/>
      <w:numFmt w:val="lowerLetter"/>
      <w:start w:val="1"/>
    </w:lvl>
  </w:abstractNum>
  <w:abstractNum w:abstractNumId="187">
    <w:nsid w:val="6EC9D844"/>
    <w:multiLevelType w:val="hybridMultilevel"/>
    <w:lvl w:ilvl="0">
      <w:lvlJc w:val="left"/>
      <w:lvlText w:val="%1."/>
      <w:numFmt w:val="decimal"/>
      <w:start w:val="1"/>
    </w:lvl>
    <w:lvl w:ilvl="1">
      <w:lvlJc w:val="left"/>
      <w:lvlText w:val="(%2)"/>
      <w:numFmt w:val="lowerLetter"/>
      <w:start w:val="1"/>
    </w:lvl>
  </w:abstractNum>
  <w:abstractNum w:abstractNumId="188">
    <w:nsid w:val="5C49EAEE"/>
    <w:multiLevelType w:val="hybridMultilevel"/>
    <w:lvl w:ilvl="0">
      <w:lvlJc w:val="left"/>
      <w:lvlText w:val="%1."/>
      <w:numFmt w:val="decimal"/>
      <w:start w:val="1"/>
    </w:lvl>
    <w:lvl w:ilvl="1">
      <w:lvlJc w:val="left"/>
      <w:lvlText w:val="(%2)"/>
      <w:numFmt w:val="lowerLetter"/>
      <w:start w:val="1"/>
    </w:lvl>
  </w:abstractNum>
  <w:abstractNum w:abstractNumId="189">
    <w:nsid w:val="64AF49B"/>
    <w:multiLevelType w:val="hybridMultilevel"/>
    <w:lvl w:ilvl="0">
      <w:lvlJc w:val="left"/>
      <w:lvlText w:val="%1."/>
      <w:numFmt w:val="decimal"/>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57" Type="http://schemas.openxmlformats.org/officeDocument/2006/relationships/hyperlink" Target="https://www.sec.gov/Archives/edgar/data/2019410/000110465925061148/tm2518546d1_ex3-1.htm" TargetMode="External"/><Relationship Id="rId58" Type="http://schemas.openxmlformats.org/officeDocument/2006/relationships/hyperlink" Target="https://www.sec.gov/Archives/edgar/data/2019410/000201941025000020/ex31arbylawsexhibitver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2026-05-08T15:31:18Z</dcterms:created>
  <dcterms:modified xsi:type="dcterms:W3CDTF">2026-05-08T15:31:18Z</dcterms:modified>
</cp:coreProperties>
</file>