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CURRENT REPORT</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Pursuant to Section 13 or 15(d) of the</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Securities Exchange Act of 1934</w:t>
      </w:r>
    </w:p>
    <w:p>
      <w:pPr>
        <w:pStyle w:val="TextBody"/>
        <w:bidi w:val="0"/>
        <w:spacing w:lineRule="auto" w:line="288" w:before="0" w:after="240"/>
        <w:jc w:val="center"/>
        <w:rPr/>
      </w:pPr>
      <w:r>
        <w:rPr>
          <w:rFonts w:ascii="sans-serif" w:hAnsi="sans-serif"/>
          <w:b w:val="false"/>
          <w:color w:val="000000"/>
          <w:sz w:val="20"/>
        </w:rPr>
        <w:t>Date of Report (Date of earliest event reported):</w:t>
      </w:r>
      <w:r>
        <w:rPr>
          <w:color w:val="000000"/>
        </w:rPr>
        <w:t xml:space="preserve"> </w:t>
      </w:r>
      <w:r>
        <w:rPr>
          <w:rFonts w:ascii="sans-serif" w:hAnsi="sans-serif"/>
          <w:b/>
          <w:color w:val="000000"/>
          <w:sz w:val="20"/>
        </w:rPr>
        <w:t>August 5, 2026</w:t>
      </w:r>
    </w:p>
    <w:tbl>
      <w:tblPr>
        <w:tblW w:w="5519" w:type="dxa"/>
        <w:jc w:val="left"/>
        <w:tblInd w:w="0" w:type="dxa"/>
        <w:tblLayout w:type="fixed"/>
        <w:tblCellMar>
          <w:top w:w="28" w:type="dxa"/>
          <w:left w:w="28" w:type="dxa"/>
          <w:bottom w:w="28" w:type="dxa"/>
          <w:right w:w="28" w:type="dxa"/>
        </w:tblCellMar>
      </w:tblPr>
      <w:tblGrid>
        <w:gridCol w:w="1768"/>
        <w:gridCol w:w="1554"/>
        <w:gridCol w:w="2197"/>
      </w:tblGrid>
      <w:tr>
        <w:trPr/>
        <w:tc>
          <w:tcPr>
            <w:tcW w:w="176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sans-serif" w:hAnsi="sans-serif"/>
                <w:b/>
                <w:color w:val="000000"/>
                <w:sz w:val="36"/>
              </w:rPr>
            </w:pPr>
            <w:r>
              <w:rPr>
                <w:rFonts w:ascii="sans-serif" w:hAnsi="sans-serif"/>
                <w:b/>
                <w:color w:val="000000"/>
                <w:sz w:val="36"/>
              </w:rPr>
              <w:t>CARIS LIFE SCIENCES, INC.</w:t>
            </w:r>
          </w:p>
        </w:tc>
      </w:tr>
      <w:tr>
        <w:trPr/>
        <w:tc>
          <w:tcPr>
            <w:tcW w:w="5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(Exact name of registrant as specified in its charter)</w:t>
            </w:r>
          </w:p>
        </w:tc>
      </w:tr>
    </w:tbl>
    <w:tbl>
      <w:tblPr>
        <w:tblW w:w="6923" w:type="dxa"/>
        <w:jc w:val="left"/>
        <w:tblInd w:w="0" w:type="dxa"/>
        <w:tblLayout w:type="fixed"/>
        <w:tblCellMar>
          <w:top w:w="28" w:type="dxa"/>
          <w:left w:w="28" w:type="dxa"/>
          <w:bottom w:w="28" w:type="dxa"/>
          <w:right w:w="28" w:type="dxa"/>
        </w:tblCellMar>
      </w:tblPr>
      <w:tblGrid>
        <w:gridCol w:w="1057"/>
        <w:gridCol w:w="931"/>
        <w:gridCol w:w="937"/>
        <w:gridCol w:w="109"/>
        <w:gridCol w:w="109"/>
        <w:gridCol w:w="109"/>
        <w:gridCol w:w="483"/>
        <w:gridCol w:w="483"/>
        <w:gridCol w:w="488"/>
        <w:gridCol w:w="109"/>
        <w:gridCol w:w="109"/>
        <w:gridCol w:w="109"/>
        <w:gridCol w:w="554"/>
        <w:gridCol w:w="554"/>
        <w:gridCol w:w="782"/>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001-42706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85-2077369</w:t>
            </w:r>
          </w:p>
        </w:tc>
      </w:tr>
      <w:tr>
        <w:trPr/>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(IRS Employer</w:t>
              <w:br/>
              <w:t>Identification No.)</w:t>
            </w:r>
          </w:p>
        </w:tc>
      </w:tr>
    </w:tbl>
    <w:tbl>
      <w:tblPr>
        <w:tblW w:w="6222" w:type="dxa"/>
        <w:jc w:val="left"/>
        <w:tblInd w:w="0" w:type="dxa"/>
        <w:tblLayout w:type="fixed"/>
        <w:tblCellMar>
          <w:top w:w="28" w:type="dxa"/>
          <w:left w:w="28" w:type="dxa"/>
          <w:bottom w:w="28" w:type="dxa"/>
          <w:right w:w="28" w:type="dxa"/>
        </w:tblCellMar>
      </w:tblPr>
      <w:tblGrid>
        <w:gridCol w:w="1710"/>
        <w:gridCol w:w="1504"/>
        <w:gridCol w:w="1511"/>
        <w:gridCol w:w="109"/>
        <w:gridCol w:w="109"/>
        <w:gridCol w:w="109"/>
        <w:gridCol w:w="343"/>
        <w:gridCol w:w="343"/>
        <w:gridCol w:w="484"/>
      </w:tblGrid>
      <w:tr>
        <w:trPr/>
        <w:tc>
          <w:tcPr>
            <w:tcW w:w="171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750 W. John Carpenter Freeway Suite 800</w:t>
            </w:r>
          </w:p>
          <w:p>
            <w:pPr>
              <w:pStyle w:val="TableContents"/>
              <w:bidi w:val="0"/>
              <w:spacing w:lineRule="auto" w:line="288" w:before="0" w:after="0"/>
              <w:jc w:val="center"/>
              <w:rPr>
                <w:color w:val="000000"/>
              </w:rPr>
            </w:pPr>
            <w:r>
              <w:rPr>
                <w:color w:val="000000"/>
              </w:rPr>
              <w:t> </w:t>
            </w:r>
            <w:r>
              <w:rPr>
                <w:rFonts w:ascii="sans-serif" w:hAnsi="sans-serif"/>
                <w:b/>
                <w:color w:val="000000"/>
                <w:sz w:val="20"/>
              </w:rPr>
              <w:t>Irving,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75039</w:t>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(Zip Code)</w:t>
            </w:r>
          </w:p>
        </w:tc>
      </w:tr>
    </w:tbl>
    <w:p>
      <w:pPr>
        <w:pStyle w:val="TextBody"/>
        <w:bidi w:val="0"/>
        <w:spacing w:lineRule="auto" w:line="288" w:before="0" w:after="240"/>
        <w:jc w:val="center"/>
        <w:rPr/>
      </w:pPr>
      <w:r>
        <w:rPr>
          <w:rFonts w:ascii="sans-serif" w:hAnsi="sans-serif"/>
          <w:b w:val="false"/>
          <w:color w:val="000000"/>
          <w:sz w:val="20"/>
        </w:rPr>
        <w:t xml:space="preserve">Registrant’s telephone number, including area code: </w:t>
      </w:r>
      <w:r>
        <w:rPr>
          <w:rFonts w:ascii="sans-serif" w:hAnsi="sans-serif"/>
          <w:b/>
          <w:color w:val="000000"/>
          <w:sz w:val="20"/>
        </w:rPr>
        <w:t>(866) 771-8946</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Not Applicable</w:t>
      </w:r>
    </w:p>
    <w:p>
      <w:pPr>
        <w:pStyle w:val="TextBody"/>
        <w:bidi w:val="0"/>
        <w:spacing w:lineRule="auto" w:line="288" w:before="0" w:after="12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9"/>
        <w:gridCol w:w="2772"/>
        <w:gridCol w:w="3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199"/>
        <w:gridCol w:w="1043"/>
        <w:gridCol w:w="1048"/>
        <w:gridCol w:w="109"/>
        <w:gridCol w:w="109"/>
        <w:gridCol w:w="109"/>
        <w:gridCol w:w="619"/>
        <w:gridCol w:w="619"/>
        <w:gridCol w:w="621"/>
        <w:gridCol w:w="109"/>
        <w:gridCol w:w="109"/>
        <w:gridCol w:w="109"/>
        <w:gridCol w:w="1288"/>
        <w:gridCol w:w="1288"/>
        <w:gridCol w:w="1826"/>
      </w:tblGrid>
      <w:tr>
        <w:trPr/>
        <w:tc>
          <w:tcPr>
            <w:tcW w:w="119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3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The Nasdaq Stock Market LLC</w:t>
            </w:r>
          </w:p>
        </w:tc>
      </w:tr>
      <w:tr>
        <w:trPr/>
        <w:tc>
          <w:tcPr>
            <w:tcW w:w="3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New York Stock Exchange Texas</w:t>
            </w:r>
          </w:p>
        </w:tc>
      </w:tr>
    </w:tbl>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Emerging growth company ☒</w:t>
      </w:r>
    </w:p>
    <w:p>
      <w:pPr>
        <w:pStyle w:val="TextBody"/>
        <w:bidi w:val="0"/>
        <w:spacing w:lineRule="auto" w:line="288" w:before="0" w:after="120"/>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lineRule="auto" w:line="288" w:before="0" w:after="200"/>
        <w:ind w:left="0" w:right="0" w:firstLine="720"/>
        <w:jc w:val="both"/>
        <w:rPr/>
      </w:pPr>
      <w:r>
        <w:rPr>
          <w:rFonts w:ascii="sans-serif" w:hAnsi="sans-serif"/>
          <w:b w:val="false"/>
          <w:color w:val="000000"/>
          <w:sz w:val="20"/>
        </w:rPr>
        <w:t>On August 5, 2026, Caris Life Sciences, Inc. (the “</w:t>
      </w:r>
      <w:r>
        <w:rPr>
          <w:rFonts w:ascii="sans-serif" w:hAnsi="sans-serif"/>
          <w:b/>
          <w:i/>
          <w:color w:val="000000"/>
          <w:sz w:val="20"/>
        </w:rPr>
        <w:t>Company</w:t>
      </w:r>
      <w:r>
        <w:rPr>
          <w:color w:val="000000"/>
        </w:rPr>
        <w:t>”</w:t>
      </w:r>
      <w:r>
        <w:rPr>
          <w:rFonts w:ascii="sans-serif" w:hAnsi="sans-serif"/>
          <w:b w:val="false"/>
          <w:color w:val="000000"/>
          <w:sz w:val="20"/>
        </w:rPr>
        <w:t>) issued a press release announcing its financial results for the quarter ended June 30, 2026. A copy of the Company’s press release is furnished as Exhibit 99.1 to this Current Report on Form 8-K and is incorporated by reference herein solely for purposes of this Item 2.02 disclosure.</w:t>
      </w:r>
    </w:p>
    <w:p>
      <w:pPr>
        <w:pStyle w:val="TextBody"/>
        <w:bidi w:val="0"/>
        <w:spacing w:lineRule="auto" w:line="288" w:before="0" w:after="200"/>
        <w:ind w:left="0" w:right="0" w:firstLine="720"/>
        <w:jc w:val="both"/>
        <w:rPr/>
      </w:pPr>
      <w:r>
        <w:rPr>
          <w:rFonts w:ascii="sans-serif" w:hAnsi="sans-serif"/>
          <w:b w:val="false"/>
          <w:color w:val="000000"/>
          <w:sz w:val="20"/>
        </w:rPr>
        <w:t>The information in this Current Report on Form 8-K, including Exhibit 99.1 furnished herewith, shall not be deemed “filed” for purposes of Section 18 of the Securities Exchange Act of 1934, as amended (the “</w:t>
      </w:r>
      <w:r>
        <w:rPr>
          <w:rFonts w:ascii="sans-serif" w:hAnsi="sans-serif"/>
          <w:b/>
          <w:i/>
          <w:color w:val="000000"/>
          <w:sz w:val="20"/>
        </w:rPr>
        <w:t>Exchange Act</w:t>
      </w:r>
      <w:r>
        <w:rPr>
          <w:color w:val="000000"/>
        </w:rPr>
        <w:t>”</w:t>
      </w:r>
      <w:r>
        <w:rPr>
          <w:rFonts w:ascii="sans-serif" w:hAnsi="sans-serif"/>
          <w:b w:val="false"/>
          <w:color w:val="000000"/>
          <w:sz w:val="20"/>
        </w:rPr>
        <w:t>), or otherwise subject to the liabilities of that section, nor shall it be deemed incorporated by reference in any filing under the Securities Act of 1933, as amended, or the Exchange Act, except as expressly set forth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 xml:space="preserve">(d) Exhibits </w:t>
      </w:r>
    </w:p>
    <w:tbl>
      <w:tblPr>
        <w:tblW w:w="9476" w:type="dxa"/>
        <w:jc w:val="left"/>
        <w:tblInd w:w="0" w:type="dxa"/>
        <w:tblLayout w:type="fixed"/>
        <w:tblCellMar>
          <w:top w:w="28" w:type="dxa"/>
          <w:left w:w="28" w:type="dxa"/>
          <w:bottom w:w="28" w:type="dxa"/>
          <w:right w:w="28" w:type="dxa"/>
        </w:tblCellMar>
      </w:tblPr>
      <w:tblGrid>
        <w:gridCol w:w="472"/>
        <w:gridCol w:w="414"/>
        <w:gridCol w:w="418"/>
        <w:gridCol w:w="109"/>
        <w:gridCol w:w="109"/>
        <w:gridCol w:w="109"/>
        <w:gridCol w:w="2298"/>
        <w:gridCol w:w="2298"/>
        <w:gridCol w:w="3249"/>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Description</w:t>
            </w:r>
          </w:p>
        </w:tc>
      </w:tr>
      <w:tr>
        <w:trPr/>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cai_ex99-1.htm">
              <w:r>
                <w:rPr>
                  <w:rStyle w:val="InternetLink"/>
                  <w:rFonts w:ascii="sans-serif" w:hAnsi="sans-serif"/>
                  <w:b w:val="false"/>
                  <w:color w:val="000080"/>
                  <w:sz w:val="20"/>
                  <w:u w:val="single"/>
                </w:rPr>
                <w:t xml:space="preserve">Press Release issued </w:t>
              </w:r>
            </w:hyperlink>
            <w:hyperlink w:anchor="cai_ex99-1.htm">
              <w:r>
                <w:rPr>
                  <w:rStyle w:val="InternetLink"/>
                  <w:rFonts w:ascii="sans-serif" w:hAnsi="sans-serif"/>
                  <w:b w:val="false"/>
                  <w:color w:val="000080"/>
                  <w:sz w:val="20"/>
                  <w:u w:val="single"/>
                </w:rPr>
                <w:t>August 5</w:t>
              </w:r>
            </w:hyperlink>
            <w:hyperlink w:anchor="cai_ex99-1.htm">
              <w:r>
                <w:rPr>
                  <w:rStyle w:val="InternetLink"/>
                  <w:rFonts w:ascii="sans-serif" w:hAnsi="sans-serif"/>
                  <w:b w:val="false"/>
                  <w:color w:val="000080"/>
                  <w:sz w:val="20"/>
                  <w:u w:val="single"/>
                </w:rPr>
                <w:t>, 2026.</w:t>
              </w:r>
            </w:hyperlink>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734"/>
        <w:gridCol w:w="643"/>
        <w:gridCol w:w="649"/>
        <w:gridCol w:w="467"/>
        <w:gridCol w:w="460"/>
        <w:gridCol w:w="460"/>
        <w:gridCol w:w="1988"/>
        <w:gridCol w:w="1986"/>
        <w:gridCol w:w="2818"/>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5, 2026</w:t>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CARIS LIFE SCIENCES, INC.</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6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Luke Power</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Name:</w:t>
            </w:r>
          </w:p>
        </w:tc>
        <w:tc>
          <w:tcPr>
            <w:tcW w:w="6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Luke Power</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Title:</w:t>
            </w:r>
          </w:p>
        </w:tc>
        <w:tc>
          <w:tcPr>
            <w:tcW w:w="6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Senior Vice President, 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sans-serif" w:hAnsi="sans-serif"/>
          <w:b/>
          <w:color w:val="000000"/>
          <w:sz w:val="24"/>
        </w:rPr>
      </w:pPr>
      <w:r>
        <w:rPr>
          <w:rFonts w:ascii="sans-serif" w:hAnsi="sans-serif"/>
          <w:b/>
          <w:color w:val="000000"/>
          <w:sz w:val="24"/>
        </w:rPr>
        <w:t>Exhibit 99.1</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Caris Life Sciences Reports Second Quarter 2026 Financial Results and Increases 2026 Revenue Guidance</w:t>
      </w:r>
    </w:p>
    <w:p>
      <w:pPr>
        <w:pStyle w:val="TextBody"/>
        <w:bidi w:val="0"/>
        <w:spacing w:lineRule="auto" w:line="288" w:before="0" w:after="200"/>
        <w:jc w:val="center"/>
        <w:rPr>
          <w:rFonts w:ascii="sans-serif" w:hAnsi="sans-serif"/>
          <w:b w:val="false"/>
          <w:i/>
          <w:color w:val="000000"/>
          <w:sz w:val="24"/>
        </w:rPr>
      </w:pPr>
      <w:r>
        <w:rPr>
          <w:rFonts w:ascii="sans-serif" w:hAnsi="sans-serif"/>
          <w:b w:val="false"/>
          <w:i/>
          <w:color w:val="000000"/>
          <w:sz w:val="24"/>
        </w:rPr>
        <w:t>Revenue growth of 45% driven by strong performance in molecular profiling services, including approximately 59,200 clinical cases, consisting of over 114,000 whole exome/whole transcriptome tests with over 345,000 total oncology tests</w:t>
      </w:r>
    </w:p>
    <w:p>
      <w:pPr>
        <w:pStyle w:val="TextBody"/>
        <w:bidi w:val="0"/>
        <w:spacing w:lineRule="auto" w:line="288" w:before="0" w:after="200"/>
        <w:jc w:val="center"/>
        <w:rPr>
          <w:rFonts w:ascii="sans-serif" w:hAnsi="sans-serif"/>
          <w:b w:val="false"/>
          <w:i/>
          <w:color w:val="000000"/>
          <w:sz w:val="24"/>
        </w:rPr>
      </w:pPr>
      <w:r>
        <w:rPr>
          <w:rFonts w:ascii="sans-serif" w:hAnsi="sans-serif"/>
          <w:b w:val="false"/>
          <w:i/>
          <w:color w:val="000000"/>
          <w:sz w:val="24"/>
        </w:rPr>
        <w:t>Raises 2026 revenue guidance to $1.03 to $1.04 billion, representing growth of 27% to 28%</w:t>
      </w:r>
    </w:p>
    <w:p>
      <w:pPr>
        <w:pStyle w:val="TextBody"/>
        <w:bidi w:val="0"/>
        <w:spacing w:lineRule="auto" w:line="288" w:before="0" w:after="200"/>
        <w:jc w:val="left"/>
        <w:rPr/>
      </w:pPr>
      <w:r>
        <w:rPr>
          <w:rFonts w:ascii="sans-serif" w:hAnsi="sans-serif"/>
          <w:b/>
          <w:color w:val="000000"/>
          <w:sz w:val="24"/>
        </w:rPr>
        <w:t>IRVING, Texas, August 05, 2026</w:t>
      </w:r>
      <w:r>
        <w:rPr>
          <w:color w:val="000000"/>
        </w:rPr>
        <w:t xml:space="preserve">— </w:t>
      </w:r>
      <w:r>
        <w:rPr>
          <w:rFonts w:ascii="sans-serif" w:hAnsi="sans-serif"/>
          <w:b w:val="false"/>
          <w:color w:val="000000"/>
          <w:sz w:val="24"/>
        </w:rPr>
        <w:t>Caris Life Sciences, Inc. (Nasdaq: CAI), a leading TechBio company actively developing and commercializing solutions to transform healthcare, today reported financial results for the quarter ended June 30, 2026.</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Second Quarter 2026 Financial Highlights</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 xml:space="preserve">Reported total revenue of $263.7 million, an increase of 45% over the corresponding prior year period. </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Completed approximately 59,200 clinical cases, an increase of approximately 18% over the corresponding prior year period, including approximately 48,300 MI Profile cases and approximately 10,700 Caris Assure cases.</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 xml:space="preserve">Reported gross margin of 68%, an approximate 500 bps improvement over the corresponding prior year period. </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Reported net loss of $0.6 million.</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Reported positive Adjusted EBITDA of $55.7 million.</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4"/>
        </w:rPr>
        <w:t>Reported positive net cash provided by operating activities of $28.5 million, and positive free cash flow of $6.4 million.</w:t>
      </w:r>
    </w:p>
    <w:p>
      <w:pPr>
        <w:pStyle w:val="TextBody"/>
        <w:bidi w:val="0"/>
        <w:spacing w:lineRule="auto" w:line="288" w:before="0" w:after="200"/>
        <w:jc w:val="left"/>
        <w:rPr>
          <w:color w:val="000000"/>
        </w:rPr>
      </w:pPr>
      <w:r>
        <w:rPr>
          <w:color w:val="000000"/>
        </w:rPr>
        <w:t>“</w:t>
      </w:r>
      <w:r>
        <w:rPr>
          <w:rFonts w:ascii="sans-serif" w:hAnsi="sans-serif"/>
          <w:b w:val="false"/>
          <w:color w:val="000000"/>
          <w:sz w:val="24"/>
        </w:rPr>
        <w:t>This was a record quarter, with approximately 59,200 clinical cases, up more than 12% sequentially, reflecting sustained demand and the payoff from investments in our commercial engine,” said David Dean Halbert, Founder, Chairman and CEO of Caris Life Sciences. “Our comprehensive approach gives every case real molecular depth, across more than 1.13 million patients with AI trained on it, that depth is what powers Caris Detect. And Detect doesn't stop at finding cancer early, through what we call the Mutational Cleanse, we plan to turn an early signal into personalized immune targets, moving from early detection to early interception. It all comes back to one thing: making precision medicine a reality for every patient.”</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Recent Operating Highlights</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Launched Caris Detect, a groundbreaking multi-cancer early detection blood test designed to uncover cancer signals at earlier, more treatable stages.</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Launched and received MolDX approval for Caris ChromoSeq, Caris' comprehensive whole genome tumor profiling assay for myeloid malignancies.</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Launched Caris MI Clarity next-generation prognostic tool that leverages multimodal AI technology and computational pathology to deliver rapid, clinically actionable results for HR+/HER2−, postmenopausal, node-negative early-stage breast cancer patients.</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Announced a share repurchase program of up to $100 million, of which approximately $82.1 million remains available for repurchase under the existing Board authorization.</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Published a study on the Caris Lookback Program demonstrating the ongoing clinical value of comprehensive testing with Caris MI Cancer Seek.</w:t>
      </w:r>
    </w:p>
    <w:p>
      <w:pPr>
        <w:pStyle w:val="TextBody"/>
        <w:bidi w:val="0"/>
        <w:spacing w:before="0" w:after="20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 xml:space="preserve">Published a study showing that whole exome measurement of tumor mutational burden (TMB) results in increased overall survival compared to estimates derived from targeted gene panels. </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 xml:space="preserve">Launched the Behind the Diagnosis campaign, spotlighting patient lives transformed by Caris' comprehensive genomic testing. </w:t>
      </w:r>
    </w:p>
    <w:p>
      <w:pPr>
        <w:pStyle w:val="TextBody"/>
        <w:bidi w:val="0"/>
        <w:spacing w:lineRule="auto" w:line="288" w:before="0" w:after="80"/>
        <w:ind w:left="0" w:right="0" w:hanging="360"/>
        <w:jc w:val="left"/>
        <w:rPr/>
      </w:pPr>
      <w:r>
        <w:rPr>
          <w:color w:val="000000"/>
        </w:rPr>
        <w:t>•</w:t>
      </w:r>
      <w:r>
        <w:rPr>
          <w:rFonts w:ascii="sans-serif" w:hAnsi="sans-serif"/>
          <w:b w:val="false"/>
          <w:color w:val="000000"/>
          <w:sz w:val="24"/>
        </w:rPr>
        <w:t>Announced a dual listing on NYSE Texas.</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4"/>
        </w:rPr>
        <w:t>Surpassed 1,130,000 total profiles and 845,000 total matched profiles through June 30, 2026. More than 783,000 whole transcriptome and 733,000 whole exome profiles through June 30, 2026.</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Total revenue was $263.7 million for the three months ended June 30, 2026, compared to $181.4 million for the three months ended June 30, 2025, an increase of $82.3 million, or 45%.</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The increase in total revenue was driven primarily by a 55% growth in molecular profiling services revenue, which was $252.3 million for the three months ended June 30, 2026, compared to $162.9 million for the three months ended June 30, 2025. The increase in molecular profiling services revenue was primarily driven by an increase in total clinical case volume and ASP improvements. </w:t>
      </w:r>
    </w:p>
    <w:p>
      <w:pPr>
        <w:pStyle w:val="TextBody"/>
        <w:bidi w:val="0"/>
        <w:spacing w:lineRule="auto" w:line="288" w:before="0" w:after="200"/>
        <w:jc w:val="left"/>
        <w:rPr/>
      </w:pPr>
      <w:r>
        <w:rPr>
          <w:rFonts w:ascii="sans-serif" w:hAnsi="sans-serif"/>
          <w:b w:val="false"/>
          <w:color w:val="000000"/>
          <w:sz w:val="24"/>
        </w:rPr>
        <w:t>Gross profit, calculated as total revenue less cost of services, for the three months ended June 30, 2026 and 2025, was $179.6 million and $113.7 million, respectively, representing a gross margin of 68%</w:t>
      </w:r>
      <w:r>
        <w:rPr>
          <w:color w:val="EE2724"/>
        </w:rPr>
        <w:t xml:space="preserve"> </w:t>
      </w:r>
      <w:r>
        <w:rPr>
          <w:rFonts w:ascii="sans-serif" w:hAnsi="sans-serif"/>
          <w:b w:val="false"/>
          <w:color w:val="000000"/>
          <w:sz w:val="24"/>
        </w:rPr>
        <w:t xml:space="preserve">and 63%, respectively. </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Operating expenses were $152.7 million for the three months ended June 30, 2026, compared to $131.7 million for the three months ended June 30, 2025, an increase of $21.0 million, or 16%. The increase was primarily driven by headcount-related costs. </w:t>
      </w:r>
    </w:p>
    <w:p>
      <w:pPr>
        <w:pStyle w:val="TextBody"/>
        <w:bidi w:val="0"/>
        <w:spacing w:lineRule="auto" w:line="288" w:before="0" w:after="200"/>
        <w:jc w:val="left"/>
        <w:rPr/>
      </w:pPr>
      <w:r>
        <w:rPr>
          <w:rFonts w:ascii="sans-serif" w:hAnsi="sans-serif"/>
          <w:b w:val="false"/>
          <w:color w:val="000000"/>
          <w:sz w:val="24"/>
        </w:rPr>
        <w:t>Net loss was $0.6 million for the three months ended June 30, 2026, as compared to a net loss of</w:t>
      </w:r>
      <w:r>
        <w:rPr>
          <w:color w:val="EE2724"/>
        </w:rPr>
        <w:t xml:space="preserve"> </w:t>
      </w:r>
      <w:r>
        <w:rPr>
          <w:rFonts w:ascii="sans-serif" w:hAnsi="sans-serif"/>
          <w:b w:val="false"/>
          <w:color w:val="000000"/>
          <w:sz w:val="24"/>
        </w:rPr>
        <w:t xml:space="preserve">$71.8 million for the three months ended June 30, 2025. Net loss per share attributable to common shareholders, basic and diluted, was $0.00 for the three months ended June 30, 2026, as compared to a net loss per share attributable to common shareholders, basic and diluted, of $7.97 for the three months ended June 30, 2025. </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Net cash provided by operating activities was $28.5 million for the three months ended June 30, 2026, as compared to net cash provided by operating activities of $7.3 million for the three months ended June 30, 2025, a 291% improvement. The improvement was driven by improved total clinical case volume and ASP improvements.</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2026 Financial Outlook and Guidance</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Caris Life Sciences now expects full year 2026 revenue to be in the range of $1.03 billion to $1.04 billion, representing growth of 27% to 28% compared to full year 2025 and reaffirms its guidance to clinical therapy selection volume growth of approximately 20% compared to full year 2025. </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Conference Call Information</w:t>
      </w:r>
    </w:p>
    <w:tbl>
      <w:tblPr>
        <w:tblW w:w="9551"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2175"/>
        <w:gridCol w:w="2175"/>
        <w:gridCol w:w="3089"/>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Event: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Caris Second Quarter 2026 Financial Results Conference Call</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Wednesday, August 5, 2026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3:30 p.m. CT (4:30 p.m. ET)</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Webcast Link: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val="false"/>
                <w:color w:val="0E32E1"/>
                <w:sz w:val="24"/>
              </w:rPr>
            </w:pPr>
            <w:r>
              <w:rPr>
                <w:rFonts w:ascii="sans-serif" w:hAnsi="sans-serif"/>
                <w:b w:val="false"/>
                <w:color w:val="0E32E1"/>
                <w:sz w:val="24"/>
              </w:rPr>
              <w:t>https://edge.media-server.com/mmc/p/ff8xb4qs</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left"/>
        <w:rPr/>
      </w:pPr>
      <w:r>
        <w:rPr>
          <w:rFonts w:ascii="sans-serif" w:hAnsi="sans-serif"/>
          <w:b w:val="false"/>
          <w:color w:val="000000"/>
          <w:sz w:val="24"/>
        </w:rPr>
        <w:t xml:space="preserve">Accompanying materials will be posted on our investor relations website at </w:t>
      </w:r>
      <w:r>
        <w:rPr>
          <w:rFonts w:ascii="sans-serif" w:hAnsi="sans-serif"/>
          <w:b w:val="false"/>
          <w:color w:val="0E32E1"/>
          <w:sz w:val="24"/>
        </w:rPr>
        <w:t>https://investor.carislifesciences.com</w:t>
      </w:r>
      <w:r>
        <w:rPr>
          <w:color w:val="000000"/>
        </w:rPr>
        <w:t xml:space="preserve"> </w:t>
      </w:r>
      <w:r>
        <w:rPr>
          <w:rFonts w:ascii="sans-serif" w:hAnsi="sans-serif"/>
          <w:b w:val="false"/>
          <w:color w:val="000000"/>
          <w:sz w:val="24"/>
        </w:rPr>
        <w:t>prior to the conference call. A replay of the conference call will be available on our investor relations website shortly after the conclusion of the call.</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About Caris Life Sciences</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Caris Life Sciences® (Caris) is a leading TechBio company actively developing and commercializing innovative solutions to transform healthcare. Through comprehensive molecular profiling (Whole Genome, Whole Exome and Whole Transcriptome Sequencing), advanced AI and machine learning, Caris has created the large-scale, multimodal clinico-genomic database and computing capability needed to analyze and further unravel the molecular complexity of disease. This convergence of next-generation sequencing, AI and machine learning technologies and high-performance computing provides a differentiated platform for developing the latest generation of advanced precision medicine diagnostic solutions for early detection, diagnosis, monitoring, therapy selection and drug development. </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Caris was founded with a vision to realize the potential of precision medicine to improve the human condition. Headquartered in Irving, Texas, Caris has offices in Phoenix, New York, Cambridge (MA), Tokyo, Japan and Basel, Switzerland. Caris or its distributor partners provide services in the U.S. and other international markets.</w:t>
      </w:r>
    </w:p>
    <w:p>
      <w:pPr>
        <w:pStyle w:val="TextBody"/>
        <w:bidi w:val="0"/>
        <w:spacing w:lineRule="auto" w:line="288" w:before="0" w:after="200"/>
        <w:jc w:val="left"/>
        <w:rPr/>
      </w:pPr>
      <w:r>
        <w:rPr>
          <w:rFonts w:ascii="sans-serif" w:hAnsi="sans-serif"/>
          <w:b w:val="false"/>
          <w:color w:val="000000"/>
          <w:sz w:val="24"/>
        </w:rPr>
        <w:t xml:space="preserve">We intend to use the investor page of our website, </w:t>
      </w:r>
      <w:r>
        <w:rPr>
          <w:rFonts w:ascii="sans-serif" w:hAnsi="sans-serif"/>
          <w:b w:val="false"/>
          <w:color w:val="0E32E1"/>
          <w:sz w:val="24"/>
        </w:rPr>
        <w:t>https://investor.carislifesciences.com</w:t>
      </w:r>
      <w:r>
        <w:rPr>
          <w:rFonts w:ascii="sans-serif" w:hAnsi="sans-serif"/>
          <w:b w:val="false"/>
          <w:color w:val="000000"/>
          <w:sz w:val="24"/>
        </w:rPr>
        <w:t xml:space="preserve">, as a distribution channel of material information about the Company and for complying with our disclosure obligations under Regulation FD. The information we post on our investor webpage may be deemed material. Accordingly, investors should subscribe to our investor alerts, in addition to following our press releases, SEC filings, public conference calls and webcasts. </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Forward-Looking Statements</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the Private Securities Litigation Reform Act of 1995 and other federal securities laws. All statements other than statements of historical facts contained in this press release are forward-looking statements, including statements regarding our business, solutions, plans, objectives, goals, industry trends, financial outlook and guidance. In some cases forward-looking statements can be identified by words such as “may,” “will,” “should,” “would,” “expect,” “plan,” “anticipate,” “could,” “intend,” “target,” “project,” “potential,” “contemplate,” “believe,” “estimate,” “predict,” or “continue” or similar expressions.</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You should not rely upon forward-looking statements as predictions of future events. Although we believe that the expectations reflected in these forward-looking statements are reasonable based on information currently available to us, we cannot guarantee that the future results, discoveries, levels of activity, performance or events and circumstances reflected in forward-looking statements will be achieved or occur. Forward-looking statements involve known and unknown risks and uncertainties, some of which are beyond our control. Risks and uncertainties that could cause our actual results to differ materially from those indicated or implied by the forward-looking statements in this press release include, among other things: continued development, performance and commercialization of Caris Detect; developments in the precision medicine industry; our future financial performance, results of operations or other operational results or metrics; development, analytical and clinical validation, timing and performance of future solutions by us and our competitors; commercial market acceptance for our solutions, including acceptance of preventive as well as diagnostic testing paradigms, and our ability to meet resulting demand; the rapidly evolving competitive environment in which we operate; third-party payer reimbursement and coverage decisions related to our solutions; the impact on our future volumes of the continued execution of our strategy to re-align </w:t>
      </w:r>
    </w:p>
    <w:p>
      <w:pPr>
        <w:pStyle w:val="TextBody"/>
        <w:bidi w:val="0"/>
        <w:spacing w:before="0" w:after="2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and expand our sales organization; risks related to data management, storage, and processing capabilities and our ability to integrate and deploy artificial intelligence and advanced data analytics technologies; our ability to protect and enhance our intellectual property; regulatory requirements, decisions or approvals (including the timing and conditions thereof) related to our solutions; reliance on third-party suppliers; risks related to data security, patient privacy, and compliance with healthcare data protection regulations as well as potential cybersecurity threats to our data platforms; our compliance with laws and regulations; the outcome of government investigations and litigation; risks related to our indebtedness; and our ability to hire and retain key personnel as well as risks, uncertainties, and other factors described in the section titled “Risk Factors” and elsewhere in our Annual Report on Form 10-K filed on March 3, 2026, and in our other filings we make with the SEC from time to time. We undertake no obligation to update any forward-looking statements to reflect changes in events, circumstances or our beliefs after the date of this press release, except as required by law.</w:t>
      </w:r>
    </w:p>
    <w:p>
      <w:pPr>
        <w:pStyle w:val="TextBody"/>
        <w:bidi w:val="0"/>
        <w:spacing w:lineRule="auto" w:line="288" w:before="0" w:after="200"/>
        <w:jc w:val="left"/>
        <w:rPr>
          <w:rFonts w:ascii="sans-serif" w:hAnsi="sans-serif"/>
          <w:b/>
          <w:color w:val="000000"/>
          <w:sz w:val="24"/>
        </w:rPr>
      </w:pPr>
      <w:r>
        <w:rPr>
          <w:rFonts w:ascii="sans-serif" w:hAnsi="sans-serif"/>
          <w:b/>
          <w:color w:val="000000"/>
          <w:sz w:val="24"/>
        </w:rPr>
        <w:t>Non-GAAP Measures</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We use Adjusted EBITDA and free cash flow, financial measures not calculated in accordance with generally accepted accounting principles in the United States (“GAAP”), to supplement our condensed consolidated financial statements, which are presented in accordance with GAAP. We believe the non-GAAP financial measures we use, are useful in evaluating our performance and liquidity. Our non-GAAP financial measures have limitations as analytical tools, however, and you should not consider them in isolation or as substitutes for analysis of our results as reported under GAAP. Other companies, including other companies in our industry, may not use these measures or may calculate these measures differently than as presented herein, limiting their usefulness as comparative measures.</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We define Adjusted EBITDA as net loss, adjusted to exclude interest income, interest expense, changes in fair value of financial instruments, other expense, net, the provision for (benefit from) income taxes, depreciation and amortization, and stock-based compensation expense. 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provides useful information to investors and others in understanding and evaluating our operating results in the same manner as our management team and board of directors. Adjusted EBITDA provides a useful measure for period-to-period comparisons of our business, as it removes the effect of certain non-cash expenses and certain variable charges. </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 xml:space="preserve">We define free cash flow as net cash provided by (used in) operating activities less capitalized software and purchases of property and equipment. Our method of calculating free cash flow is unchanged from prior periods; the caption has been updated to identify capitalized software as a component of our investing capital expenditures. We believe free cash flow is a useful measure of liquidity that provides an additional basis for assessing our ability to generate cash. </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A reconciliation of the non-GAAP financial measures used in this press release to the respective comparable GAAP financial measures, can be found below.</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Caris Life Sciences Media:</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Corporate Communications</w:t>
      </w:r>
    </w:p>
    <w:p>
      <w:pPr>
        <w:pStyle w:val="TextBody"/>
        <w:bidi w:val="0"/>
        <w:spacing w:lineRule="auto" w:line="288" w:before="0" w:after="0"/>
        <w:jc w:val="left"/>
        <w:rPr>
          <w:rFonts w:ascii="sans-serif" w:hAnsi="sans-serif"/>
          <w:b w:val="false"/>
          <w:color w:val="0000FF"/>
          <w:sz w:val="24"/>
        </w:rPr>
      </w:pPr>
      <w:r>
        <w:rPr>
          <w:rFonts w:ascii="sans-serif" w:hAnsi="sans-serif"/>
          <w:b w:val="false"/>
          <w:color w:val="0000FF"/>
          <w:sz w:val="24"/>
        </w:rPr>
        <w:t>CorpComm@CarisLS.com</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214.294.5606</w:t>
      </w:r>
    </w:p>
    <w:p>
      <w:pPr>
        <w:pStyle w:val="TextBody"/>
        <w:bidi w:val="0"/>
        <w:spacing w:before="0" w:after="2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Investor Relations:</w:t>
      </w:r>
    </w:p>
    <w:p>
      <w:pPr>
        <w:pStyle w:val="TextBody"/>
        <w:bidi w:val="0"/>
        <w:spacing w:lineRule="auto" w:line="288" w:before="0" w:after="0"/>
        <w:jc w:val="left"/>
        <w:rPr>
          <w:rFonts w:ascii="sans-serif" w:hAnsi="sans-serif"/>
          <w:b w:val="false"/>
          <w:color w:val="0000FF"/>
          <w:sz w:val="24"/>
        </w:rPr>
      </w:pPr>
      <w:r>
        <w:rPr>
          <w:rFonts w:ascii="sans-serif" w:hAnsi="sans-serif"/>
          <w:b w:val="false"/>
          <w:color w:val="0000FF"/>
          <w:sz w:val="24"/>
        </w:rPr>
        <w:t>IR@CarisLS.com</w:t>
      </w:r>
    </w:p>
    <w:p>
      <w:pPr>
        <w:pStyle w:val="TextBody"/>
        <w:bidi w:val="0"/>
        <w:spacing w:lineRule="auto" w:line="288" w:before="0" w:after="200"/>
        <w:jc w:val="left"/>
        <w:rPr>
          <w:rFonts w:ascii="sans-serif" w:hAnsi="sans-serif"/>
          <w:b w:val="false"/>
          <w:color w:val="000000"/>
          <w:sz w:val="24"/>
        </w:rPr>
      </w:pPr>
      <w:r>
        <w:rPr>
          <w:rFonts w:ascii="sans-serif" w:hAnsi="sans-serif"/>
          <w:b w:val="false"/>
          <w:color w:val="000000"/>
          <w:sz w:val="24"/>
        </w:rPr>
        <w:t>917.689.3511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CARIS LIFE SCIENCES, INC</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CONDENSED CONSOLIDATED STATEMENTS OF OPERATIONS AND COMPREHENSIVE LOSS (UNAUDITED)</w:t>
      </w:r>
    </w:p>
    <w:tbl>
      <w:tblPr>
        <w:tblW w:w="10205" w:type="dxa"/>
        <w:jc w:val="center"/>
        <w:tblInd w:w="0" w:type="dxa"/>
        <w:tblLayout w:type="fixed"/>
        <w:tblCellMar>
          <w:top w:w="28" w:type="dxa"/>
          <w:left w:w="28" w:type="dxa"/>
          <w:bottom w:w="28" w:type="dxa"/>
          <w:right w:w="28" w:type="dxa"/>
        </w:tblCellMar>
      </w:tblPr>
      <w:tblGrid>
        <w:gridCol w:w="1626"/>
        <w:gridCol w:w="1004"/>
        <w:gridCol w:w="1009"/>
        <w:gridCol w:w="251"/>
        <w:gridCol w:w="956"/>
        <w:gridCol w:w="110"/>
        <w:gridCol w:w="110"/>
        <w:gridCol w:w="110"/>
        <w:gridCol w:w="110"/>
        <w:gridCol w:w="243"/>
        <w:gridCol w:w="1109"/>
        <w:gridCol w:w="110"/>
        <w:gridCol w:w="109"/>
        <w:gridCol w:w="109"/>
        <w:gridCol w:w="109"/>
        <w:gridCol w:w="242"/>
        <w:gridCol w:w="953"/>
        <w:gridCol w:w="111"/>
        <w:gridCol w:w="109"/>
        <w:gridCol w:w="109"/>
        <w:gridCol w:w="109"/>
        <w:gridCol w:w="241"/>
        <w:gridCol w:w="1096"/>
        <w:gridCol w:w="160"/>
      </w:tblGrid>
      <w:tr>
        <w:trPr/>
        <w:tc>
          <w:tcPr>
            <w:tcW w:w="16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and per share data)</w:t>
            </w:r>
          </w:p>
        </w:tc>
        <w:tc>
          <w:tcPr>
            <w:tcW w:w="31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Molecular profiling services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252,254 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162,924 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463,053 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277,006 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Pharma research and development services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25,308 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revenue</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263,712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181,398</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479,886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302,314</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Costs and operating expenses:</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81,328 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53,764 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98,808 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82,089 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66,548 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64,367 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116,486 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costs and operating expenses</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236,786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199,387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447,678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378,254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Income (Loss) from operations</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26,926</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(17,989)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32,208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(75,940)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other expense, net</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(27,540)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(53,801)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(33,466)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(98,430)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Loss before income taxes and income tax benefit</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(71,790)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(1,258)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(174,370)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benefit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loss</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(637)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(71,790)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(1,147)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(174,370)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loss, net of tax:</w:t>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Unrealized loss on available-for-sale securities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Foreign currency translation adjustments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Comprehensive loss</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(1,001)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(71,366)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(1,554)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(173,911)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attributable to common shareholders:</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Deemed dividend from Series D redeemable convertible preferred stock</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(384,436)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(384,436)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Adjustments of redeemable convertible preferred stock to redemption value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(60,971)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loss attributable to common shareholders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(637)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(517,197)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(1,147)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(644,239)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63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per share attributable to common shareholders, basic and diluted</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(0.00)</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(7.97)</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(0.00)</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(12.80)</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63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63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Weighted-average shares used in computing net loss per share attributable to common shareholders, basic and diluted</w:t>
            </w:r>
          </w:p>
        </w:tc>
        <w:tc>
          <w:tcPr>
            <w:tcW w:w="131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282,888,610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64,918,988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282,726,214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50,348,947</w:t>
            </w:r>
          </w:p>
        </w:tc>
      </w:tr>
      <w:tr>
        <w:trPr/>
        <w:tc>
          <w:tcPr>
            <w:tcW w:w="363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526"/>
        <w:gridCol w:w="1996"/>
        <w:gridCol w:w="2006"/>
        <w:gridCol w:w="241"/>
        <w:gridCol w:w="1264"/>
        <w:gridCol w:w="109"/>
        <w:gridCol w:w="109"/>
        <w:gridCol w:w="109"/>
        <w:gridCol w:w="109"/>
        <w:gridCol w:w="252"/>
        <w:gridCol w:w="1319"/>
        <w:gridCol w:w="165"/>
      </w:tblGrid>
      <w:tr>
        <w:trPr/>
        <w:tc>
          <w:tcPr>
            <w:tcW w:w="252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data)</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w:t>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6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Assets</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assets: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797,799 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Short-term marketable securities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receivable</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112,140 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Supplies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assets</w:t>
            </w:r>
          </w:p>
        </w:tc>
        <w:tc>
          <w:tcPr>
            <w:tcW w:w="15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1,057,828 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997,800 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63,170 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Goodwill</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19,344 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assets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45,349 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1,229,620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1,125,663</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Liabilities and Shareholders' Equity</w:t>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liabilities: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payable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expenses and other current liabilities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87,770 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portion of indebtedness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5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191,437 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127,145 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indebtedness, net of debt discounts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378,823 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42,388 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liabilities</w:t>
            </w:r>
          </w:p>
        </w:tc>
        <w:tc>
          <w:tcPr>
            <w:tcW w:w="15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637,886 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548,356 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Shareholders' equity:</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Preferred stock, $0.001 par value per share; 100,000,000 shares authorized as of June 30, 2026 and December 31, 2025; no shares issued and outstanding as of June 30, 2026 and December 31, 2025</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Common stock, $0.001 par value per share; 2,800,000,000 shares authorized as of June 30, 2026 and December 31, 2025; 282,582,915 and 284,137,810 shares issued as of June 30, 2026 and December 31, 2025, respectively; 282,582,915 and 282,526,097 shares outstanding as of June 30, 2026 and December 31, 2025, respectively; shares issued and outstanding include 23,446 unvested shares subject to repurchase as of June 30, 2026 and December 31, 2025</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Treasury stock at cost, 0 and 1,611,713 shares of common stock as of June 30, 2026 and December 31, 2025, respectively</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(16,896)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3,141,720 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deficit</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(2,549,883)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(2,548,736)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other comprehensive income</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shareholders' equity</w:t>
            </w:r>
          </w:p>
        </w:tc>
        <w:tc>
          <w:tcPr>
            <w:tcW w:w="15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591,734 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577,307 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liabilities and shareholders'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1,229,620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1,125,663</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645"/>
        <w:gridCol w:w="2251"/>
        <w:gridCol w:w="2262"/>
        <w:gridCol w:w="228"/>
        <w:gridCol w:w="958"/>
        <w:gridCol w:w="109"/>
        <w:gridCol w:w="109"/>
        <w:gridCol w:w="109"/>
        <w:gridCol w:w="109"/>
        <w:gridCol w:w="228"/>
        <w:gridCol w:w="1034"/>
        <w:gridCol w:w="163"/>
      </w:tblGrid>
      <w:tr>
        <w:trPr/>
        <w:tc>
          <w:tcPr>
            <w:tcW w:w="26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w:t>
            </w:r>
          </w:p>
        </w:tc>
        <w:tc>
          <w:tcPr>
            <w:tcW w:w="30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Cash flows from operating activities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Adjustments to reconcile net loss to net cash used in operating activities: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Non-cash operating lease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Amortization of debt discounts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on debt extinguishment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Changes in operating assets and liabilities: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receivable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37,040 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Supplies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payable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expenses and other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(18,681)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operating activities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(24,050)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Cash flows from investing activities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Sale of marketable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Purchases of marketable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Capitalized software and purchases of property and equipment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(132,534)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Cash flows from financing activities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made on finance lease obligations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 of taxes withheld from net settlement of exercised options and vested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 of deferred offering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Repayment of the 2023 term loan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the 2026 term loan, net of issuance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 of third-party debt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share purchases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E Preferred Stock,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87,637 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F Preferred Stock, net of issuance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33,601 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the 2025 Convertible Notes,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the 2025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of the 2023 term loan amendment fee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initial public offering, net of underwriting discounts and commissions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528,459 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financing activities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682,687 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Effect of exchange rate changes on cash, cash equivalents, and restricted cash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increase (decrease) in cash, cash equivalents, and restricted cash</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(107,297)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654,659 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 at beginning of period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68,028 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 at end of period</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692,745 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722,687 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Reconciliation of cash, cash equivalents, and restricted cash</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720,444 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Restricted cash included in other long-term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cash, cash equivalents, and restricted cash</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692,745 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722,687 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RECONCILIATION OF GAAP NET LOSS TO ADJUSTED EBITDA (UNAUDITED)</w:t>
      </w:r>
    </w:p>
    <w:tbl>
      <w:tblPr>
        <w:tblW w:w="10205" w:type="dxa"/>
        <w:jc w:val="center"/>
        <w:tblInd w:w="0" w:type="dxa"/>
        <w:tblLayout w:type="fixed"/>
        <w:tblCellMar>
          <w:top w:w="28" w:type="dxa"/>
          <w:left w:w="28" w:type="dxa"/>
          <w:bottom w:w="28" w:type="dxa"/>
          <w:right w:w="28" w:type="dxa"/>
        </w:tblCellMar>
      </w:tblPr>
      <w:tblGrid>
        <w:gridCol w:w="1367"/>
        <w:gridCol w:w="1136"/>
        <w:gridCol w:w="1142"/>
        <w:gridCol w:w="269"/>
        <w:gridCol w:w="1025"/>
        <w:gridCol w:w="121"/>
        <w:gridCol w:w="121"/>
        <w:gridCol w:w="121"/>
        <w:gridCol w:w="121"/>
        <w:gridCol w:w="269"/>
        <w:gridCol w:w="1025"/>
        <w:gridCol w:w="121"/>
        <w:gridCol w:w="109"/>
        <w:gridCol w:w="109"/>
        <w:gridCol w:w="109"/>
        <w:gridCol w:w="243"/>
        <w:gridCol w:w="926"/>
        <w:gridCol w:w="109"/>
        <w:gridCol w:w="109"/>
        <w:gridCol w:w="109"/>
        <w:gridCol w:w="109"/>
        <w:gridCol w:w="243"/>
        <w:gridCol w:w="1025"/>
        <w:gridCol w:w="167"/>
      </w:tblGrid>
      <w:tr>
        <w:trPr/>
        <w:tc>
          <w:tcPr>
            <w:tcW w:w="136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w:t>
            </w:r>
          </w:p>
        </w:tc>
        <w:tc>
          <w:tcPr>
            <w:tcW w:w="319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Adjusted EBITDA</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55,683</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16,713</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81,902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(19,502)</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RECONCILIATION OF NET CASH PROVIDED BY (USED IN) OPERATING ACTIVITIES TO FREE CASH FLOW (UNAUDITED)</w:t>
      </w:r>
    </w:p>
    <w:tbl>
      <w:tblPr>
        <w:tblW w:w="10205" w:type="dxa"/>
        <w:jc w:val="center"/>
        <w:tblInd w:w="0" w:type="dxa"/>
        <w:tblLayout w:type="fixed"/>
        <w:tblCellMar>
          <w:top w:w="28" w:type="dxa"/>
          <w:left w:w="28" w:type="dxa"/>
          <w:bottom w:w="28" w:type="dxa"/>
          <w:right w:w="28" w:type="dxa"/>
        </w:tblCellMar>
      </w:tblPr>
      <w:tblGrid>
        <w:gridCol w:w="1415"/>
        <w:gridCol w:w="1241"/>
        <w:gridCol w:w="1248"/>
        <w:gridCol w:w="272"/>
        <w:gridCol w:w="932"/>
        <w:gridCol w:w="122"/>
        <w:gridCol w:w="122"/>
        <w:gridCol w:w="122"/>
        <w:gridCol w:w="122"/>
        <w:gridCol w:w="272"/>
        <w:gridCol w:w="881"/>
        <w:gridCol w:w="122"/>
        <w:gridCol w:w="109"/>
        <w:gridCol w:w="109"/>
        <w:gridCol w:w="109"/>
        <w:gridCol w:w="242"/>
        <w:gridCol w:w="923"/>
        <w:gridCol w:w="109"/>
        <w:gridCol w:w="109"/>
        <w:gridCol w:w="109"/>
        <w:gridCol w:w="109"/>
        <w:gridCol w:w="242"/>
        <w:gridCol w:w="997"/>
        <w:gridCol w:w="167"/>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u w:val="single"/>
              </w:rPr>
            </w:pPr>
            <w:r>
              <w:rPr>
                <w:rFonts w:ascii="sans-serif" w:hAnsi="sans-serif"/>
                <w:b/>
                <w:color w:val="000000"/>
                <w:sz w:val="20"/>
                <w:u w:val="single"/>
              </w:rPr>
              <w:t>(amounts in thousands)</w:t>
            </w:r>
          </w:p>
        </w:tc>
        <w:tc>
          <w:tcPr>
            <w:tcW w:w="296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operating activities</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Less: capitalized software and purchases of property and equipment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Free cash flow</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6,402</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5,902</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28,936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(28,125)</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3683</Words>
  <Characters>21707</Characters>
  <CharactersWithSpaces>25007</CharactersWithSpaces>
  <Paragraphs>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