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UNITED STATES</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SECURITIES AND EXCHANGE COMMISSION</w:t>
      </w:r>
    </w:p>
    <w:p>
      <w:pPr>
        <w:pStyle w:val="TextBody"/>
        <w:bidi w:val="0"/>
        <w:spacing w:lineRule="auto" w:line="288" w:before="0" w:after="120"/>
        <w:jc w:val="center"/>
        <w:rPr>
          <w:rFonts w:ascii="sans-serif" w:hAnsi="sans-serif"/>
          <w:b/>
          <w:color w:val="000000"/>
          <w:sz w:val="24"/>
        </w:rPr>
      </w:pPr>
      <w:r>
        <w:rPr>
          <w:rFonts w:ascii="sans-serif" w:hAnsi="sans-serif"/>
          <w:b/>
          <w:color w:val="000000"/>
          <w:sz w:val="24"/>
        </w:rPr>
        <w:t>Washington, D.C. 20549</w:t>
      </w:r>
    </w:p>
    <w:p>
      <w:pPr>
        <w:pStyle w:val="TextBody"/>
        <w:bidi w:val="0"/>
        <w:spacing w:lineRule="auto" w:line="288" w:before="0" w:after="200"/>
        <w:jc w:val="center"/>
        <w:rPr>
          <w:rFonts w:ascii="sans-serif" w:hAnsi="sans-serif"/>
          <w:b w:val="false"/>
          <w:color w:val="000000"/>
          <w:sz w:val="20"/>
        </w:rPr>
      </w:pPr>
      <w:r>
        <w:rPr>
          <w:rFonts w:ascii="sans-serif" w:hAnsi="sans-serif"/>
          <w:b w:val="false"/>
          <w:color w:val="000000"/>
          <w:sz w:val="20"/>
        </w:rPr>
        <w:t>_______________________________</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FORM 8-K</w:t>
      </w:r>
    </w:p>
    <w:p>
      <w:pPr>
        <w:pStyle w:val="TextBody"/>
        <w:bidi w:val="0"/>
        <w:spacing w:lineRule="auto" w:line="288" w:before="0" w:after="200"/>
        <w:jc w:val="center"/>
        <w:rPr>
          <w:rFonts w:ascii="sans-serif" w:hAnsi="sans-serif"/>
          <w:b w:val="false"/>
          <w:color w:val="000000"/>
          <w:sz w:val="20"/>
        </w:rPr>
      </w:pPr>
      <w:r>
        <w:rPr>
          <w:rFonts w:ascii="sans-serif" w:hAnsi="sans-serif"/>
          <w:b w:val="false"/>
          <w:color w:val="000000"/>
          <w:sz w:val="20"/>
        </w:rPr>
        <w:t>_______________________________</w:t>
      </w:r>
    </w:p>
    <w:p>
      <w:pPr>
        <w:pStyle w:val="TextBody"/>
        <w:bidi w:val="0"/>
        <w:spacing w:lineRule="auto" w:line="288" w:before="0" w:after="200"/>
        <w:jc w:val="center"/>
        <w:rPr>
          <w:rFonts w:ascii="sans-serif" w:hAnsi="sans-serif"/>
          <w:b/>
          <w:color w:val="000000"/>
          <w:sz w:val="20"/>
        </w:rPr>
      </w:pPr>
      <w:r>
        <w:rPr>
          <w:rFonts w:ascii="sans-serif" w:hAnsi="sans-serif"/>
          <w:b/>
          <w:color w:val="000000"/>
          <w:sz w:val="20"/>
        </w:rPr>
        <w:t>CURRENT REPORT</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Pursuant to Section 13 or 15(d) of the</w:t>
      </w:r>
    </w:p>
    <w:p>
      <w:pPr>
        <w:pStyle w:val="TextBody"/>
        <w:bidi w:val="0"/>
        <w:spacing w:lineRule="auto" w:line="288" w:before="0" w:after="200"/>
        <w:jc w:val="center"/>
        <w:rPr>
          <w:rFonts w:ascii="sans-serif" w:hAnsi="sans-serif"/>
          <w:b/>
          <w:color w:val="000000"/>
          <w:sz w:val="20"/>
        </w:rPr>
      </w:pPr>
      <w:r>
        <w:rPr>
          <w:rFonts w:ascii="sans-serif" w:hAnsi="sans-serif"/>
          <w:b/>
          <w:color w:val="000000"/>
          <w:sz w:val="20"/>
        </w:rPr>
        <w:t>Securities Exchange Act of 1934</w:t>
      </w:r>
    </w:p>
    <w:p>
      <w:pPr>
        <w:pStyle w:val="TextBody"/>
        <w:bidi w:val="0"/>
        <w:spacing w:lineRule="auto" w:line="288" w:before="0" w:after="200"/>
        <w:jc w:val="center"/>
        <w:rPr/>
      </w:pPr>
      <w:r>
        <w:rPr>
          <w:rFonts w:ascii="sans-serif" w:hAnsi="sans-serif"/>
          <w:b w:val="false"/>
          <w:color w:val="000000"/>
          <w:sz w:val="20"/>
        </w:rPr>
        <w:t>Date of Report (Date of earliest event reported):</w:t>
      </w:r>
      <w:r>
        <w:rPr>
          <w:color w:val="000000"/>
        </w:rPr>
        <w:t xml:space="preserve"> </w:t>
      </w:r>
      <w:r>
        <w:rPr>
          <w:rFonts w:ascii="sans-serif" w:hAnsi="sans-serif"/>
          <w:b/>
          <w:color w:val="000000"/>
          <w:sz w:val="20"/>
        </w:rPr>
        <w:t>June 4, 2026</w:t>
      </w:r>
    </w:p>
    <w:tbl>
      <w:tblPr>
        <w:tblW w:w="5519" w:type="dxa"/>
        <w:jc w:val="left"/>
        <w:tblInd w:w="0" w:type="dxa"/>
        <w:tblLayout w:type="fixed"/>
        <w:tblCellMar>
          <w:top w:w="28" w:type="dxa"/>
          <w:left w:w="28" w:type="dxa"/>
          <w:bottom w:w="28" w:type="dxa"/>
          <w:right w:w="28" w:type="dxa"/>
        </w:tblCellMar>
      </w:tblPr>
      <w:tblGrid>
        <w:gridCol w:w="1768"/>
        <w:gridCol w:w="1554"/>
        <w:gridCol w:w="2197"/>
      </w:tblGrid>
      <w:tr>
        <w:trPr/>
        <w:tc>
          <w:tcPr>
            <w:tcW w:w="176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sans-serif" w:hAnsi="sans-serif"/>
                <w:b/>
                <w:color w:val="000000"/>
                <w:sz w:val="36"/>
              </w:rPr>
            </w:pPr>
            <w:r>
              <w:rPr>
                <w:rFonts w:ascii="sans-serif" w:hAnsi="sans-serif"/>
                <w:b/>
                <w:color w:val="000000"/>
                <w:sz w:val="36"/>
              </w:rPr>
              <w:t>CARIS LIFE SCIENCES, INC.</w:t>
            </w:r>
          </w:p>
        </w:tc>
      </w:tr>
      <w:tr>
        <w:trPr/>
        <w:tc>
          <w:tcPr>
            <w:tcW w:w="5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(Exact name of registrant as specified in its charter)</w:t>
            </w:r>
          </w:p>
        </w:tc>
      </w:tr>
    </w:tbl>
    <w:tbl>
      <w:tblPr>
        <w:tblW w:w="6923" w:type="dxa"/>
        <w:jc w:val="left"/>
        <w:tblInd w:w="0" w:type="dxa"/>
        <w:tblLayout w:type="fixed"/>
        <w:tblCellMar>
          <w:top w:w="28" w:type="dxa"/>
          <w:left w:w="28" w:type="dxa"/>
          <w:bottom w:w="28" w:type="dxa"/>
          <w:right w:w="28" w:type="dxa"/>
        </w:tblCellMar>
      </w:tblPr>
      <w:tblGrid>
        <w:gridCol w:w="1057"/>
        <w:gridCol w:w="931"/>
        <w:gridCol w:w="937"/>
        <w:gridCol w:w="109"/>
        <w:gridCol w:w="109"/>
        <w:gridCol w:w="109"/>
        <w:gridCol w:w="483"/>
        <w:gridCol w:w="483"/>
        <w:gridCol w:w="488"/>
        <w:gridCol w:w="109"/>
        <w:gridCol w:w="109"/>
        <w:gridCol w:w="109"/>
        <w:gridCol w:w="554"/>
        <w:gridCol w:w="554"/>
        <w:gridCol w:w="782"/>
      </w:tblGrid>
      <w:tr>
        <w:trPr/>
        <w:tc>
          <w:tcPr>
            <w:tcW w:w="105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001-42706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85-2077369</w:t>
            </w:r>
          </w:p>
        </w:tc>
      </w:tr>
      <w:tr>
        <w:trPr/>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(IRS Employer</w:t>
              <w:br/>
              <w:t>Identification No.)</w:t>
            </w:r>
          </w:p>
        </w:tc>
      </w:tr>
    </w:tbl>
    <w:tbl>
      <w:tblPr>
        <w:tblW w:w="6222" w:type="dxa"/>
        <w:jc w:val="left"/>
        <w:tblInd w:w="0" w:type="dxa"/>
        <w:tblLayout w:type="fixed"/>
        <w:tblCellMar>
          <w:top w:w="28" w:type="dxa"/>
          <w:left w:w="28" w:type="dxa"/>
          <w:bottom w:w="28" w:type="dxa"/>
          <w:right w:w="28" w:type="dxa"/>
        </w:tblCellMar>
      </w:tblPr>
      <w:tblGrid>
        <w:gridCol w:w="1710"/>
        <w:gridCol w:w="1504"/>
        <w:gridCol w:w="1511"/>
        <w:gridCol w:w="109"/>
        <w:gridCol w:w="109"/>
        <w:gridCol w:w="109"/>
        <w:gridCol w:w="343"/>
        <w:gridCol w:w="343"/>
        <w:gridCol w:w="484"/>
      </w:tblGrid>
      <w:tr>
        <w:trPr/>
        <w:tc>
          <w:tcPr>
            <w:tcW w:w="1710"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750 W. John Carpenter Freeway Suite 800</w:t>
            </w:r>
          </w:p>
          <w:p>
            <w:pPr>
              <w:pStyle w:val="TableContents"/>
              <w:bidi w:val="0"/>
              <w:spacing w:lineRule="auto" w:line="288" w:before="0" w:after="0"/>
              <w:jc w:val="center"/>
              <w:rPr>
                <w:color w:val="000000"/>
              </w:rPr>
            </w:pPr>
            <w:r>
              <w:rPr>
                <w:color w:val="000000"/>
              </w:rPr>
              <w:t> </w:t>
            </w:r>
            <w:r>
              <w:rPr>
                <w:rFonts w:ascii="sans-serif" w:hAnsi="sans-serif"/>
                <w:b/>
                <w:color w:val="000000"/>
                <w:sz w:val="20"/>
              </w:rPr>
              <w:t>Irving, 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75039</w:t>
            </w:r>
          </w:p>
        </w:tc>
      </w:tr>
      <w:tr>
        <w:trPr/>
        <w:tc>
          <w:tcPr>
            <w:tcW w:w="4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(Zip Code)</w:t>
            </w:r>
          </w:p>
        </w:tc>
      </w:tr>
    </w:tbl>
    <w:p>
      <w:pPr>
        <w:pStyle w:val="TextBody"/>
        <w:bidi w:val="0"/>
        <w:spacing w:lineRule="auto" w:line="288" w:before="0" w:after="200"/>
        <w:jc w:val="center"/>
        <w:rPr/>
      </w:pPr>
      <w:r>
        <w:rPr>
          <w:rFonts w:ascii="sans-serif" w:hAnsi="sans-serif"/>
          <w:b w:val="false"/>
          <w:color w:val="000000"/>
          <w:sz w:val="20"/>
        </w:rPr>
        <w:t xml:space="preserve">Registrant’s telephone number, including area code: </w:t>
      </w:r>
      <w:r>
        <w:rPr>
          <w:rFonts w:ascii="sans-serif" w:hAnsi="sans-serif"/>
          <w:b/>
          <w:color w:val="000000"/>
          <w:sz w:val="20"/>
        </w:rPr>
        <w:t>(866) 771-8946</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Not Applicable</w:t>
      </w:r>
    </w:p>
    <w:p>
      <w:pPr>
        <w:pStyle w:val="TextBody"/>
        <w:bidi w:val="0"/>
        <w:spacing w:lineRule="auto" w:line="288" w:before="0" w:after="120"/>
        <w:jc w:val="center"/>
        <w:rPr>
          <w:rFonts w:ascii="sans-serif" w:hAnsi="sans-serif"/>
          <w:b w:val="false"/>
          <w:color w:val="000000"/>
          <w:sz w:val="20"/>
        </w:rPr>
      </w:pPr>
      <w:r>
        <w:rPr>
          <w:rFonts w:ascii="sans-serif" w:hAnsi="sans-serif"/>
          <w:b w:val="false"/>
          <w:color w:val="000000"/>
          <w:sz w:val="20"/>
        </w:rPr>
        <w:t>(Former name or former address, if changed since last report)</w:t>
      </w:r>
    </w:p>
    <w:p>
      <w:pPr>
        <w:pStyle w:val="TextBody"/>
        <w:bidi w:val="0"/>
        <w:spacing w:lineRule="auto" w:line="288" w:before="0" w:after="200"/>
        <w:jc w:val="center"/>
        <w:rPr>
          <w:rFonts w:ascii="sans-serif" w:hAnsi="sans-serif"/>
          <w:b w:val="false"/>
          <w:color w:val="000000"/>
          <w:sz w:val="20"/>
        </w:rPr>
      </w:pPr>
      <w:r>
        <w:rPr>
          <w:rFonts w:ascii="sans-serif" w:hAnsi="sans-serif"/>
          <w:b w:val="false"/>
          <w:color w:val="000000"/>
          <w:sz w:val="20"/>
        </w:rPr>
        <w:t>_______________________________</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Check the appropriate box below if the Form 8-K filing is intended to simultaneously satisfy the filing obligation of the registrant under any of the following provisions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29"/>
        <w:gridCol w:w="2772"/>
        <w:gridCol w:w="39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39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Pre-commencement communications pursuant to Rule 13e-4(c) under the Exchange Act (17 CFR 240.13e-4(c))</w:t>
            </w:r>
          </w:p>
        </w:tc>
      </w:tr>
    </w:tbl>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199"/>
        <w:gridCol w:w="1043"/>
        <w:gridCol w:w="1048"/>
        <w:gridCol w:w="109"/>
        <w:gridCol w:w="109"/>
        <w:gridCol w:w="109"/>
        <w:gridCol w:w="619"/>
        <w:gridCol w:w="619"/>
        <w:gridCol w:w="621"/>
        <w:gridCol w:w="109"/>
        <w:gridCol w:w="109"/>
        <w:gridCol w:w="109"/>
        <w:gridCol w:w="1288"/>
        <w:gridCol w:w="1288"/>
        <w:gridCol w:w="1826"/>
      </w:tblGrid>
      <w:tr>
        <w:trPr/>
        <w:tc>
          <w:tcPr>
            <w:tcW w:w="119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r>
      <w:tr>
        <w:trPr/>
        <w:tc>
          <w:tcPr>
            <w:tcW w:w="3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Name of each exchange on which registered</w:t>
            </w:r>
          </w:p>
        </w:tc>
      </w:tr>
      <w:tr>
        <w:trPr/>
        <w:tc>
          <w:tcPr>
            <w:tcW w:w="3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CAI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The Nasdaq Stock Market LLC</w:t>
            </w:r>
          </w:p>
        </w:tc>
      </w:tr>
    </w:tbl>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Emerging growth company ☒</w:t>
      </w:r>
    </w:p>
    <w:p>
      <w:pPr>
        <w:pStyle w:val="TextBody"/>
        <w:bidi w:val="0"/>
        <w:spacing w:lineRule="auto" w:line="288" w:before="0" w:after="120"/>
        <w:jc w:val="both"/>
        <w:rPr/>
      </w:pPr>
      <w:r>
        <w:rPr>
          <w:rFonts w:ascii="sans-serif" w:hAnsi="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Item 5.07    Submission of Matters to a Vote of Security Holders.</w:t>
      </w:r>
    </w:p>
    <w:p>
      <w:pPr>
        <w:pStyle w:val="TextBody"/>
        <w:bidi w:val="0"/>
        <w:spacing w:lineRule="auto" w:line="288" w:before="0" w:after="200"/>
        <w:ind w:left="0" w:right="0" w:firstLine="720"/>
        <w:jc w:val="both"/>
        <w:rPr/>
      </w:pPr>
      <w:r>
        <w:rPr>
          <w:rFonts w:ascii="sans-serif" w:hAnsi="sans-serif"/>
          <w:b w:val="false"/>
          <w:color w:val="000000"/>
          <w:sz w:val="20"/>
        </w:rPr>
        <w:t>Caris Life Sciences, Inc. (the “</w:t>
      </w:r>
      <w:r>
        <w:rPr>
          <w:rFonts w:ascii="sans-serif" w:hAnsi="sans-serif"/>
          <w:b/>
          <w:i/>
          <w:color w:val="000000"/>
          <w:sz w:val="20"/>
        </w:rPr>
        <w:t>Company</w:t>
      </w:r>
      <w:r>
        <w:rPr>
          <w:color w:val="000000"/>
        </w:rPr>
        <w:t>”</w:t>
      </w:r>
      <w:r>
        <w:rPr>
          <w:rFonts w:ascii="sans-serif" w:hAnsi="sans-serif"/>
          <w:b w:val="false"/>
          <w:color w:val="000000"/>
          <w:sz w:val="20"/>
        </w:rPr>
        <w:t>) held its 2026 Annual Meeting of Shareholders on June 4, 2026 (the “</w:t>
      </w:r>
      <w:r>
        <w:rPr>
          <w:rFonts w:ascii="sans-serif" w:hAnsi="sans-serif"/>
          <w:b/>
          <w:i/>
          <w:color w:val="000000"/>
          <w:sz w:val="20"/>
        </w:rPr>
        <w:t>2026 Annual Meeting</w:t>
      </w:r>
      <w:r>
        <w:rPr>
          <w:color w:val="000000"/>
        </w:rPr>
        <w:t>”</w:t>
      </w:r>
      <w:r>
        <w:rPr>
          <w:rFonts w:ascii="sans-serif" w:hAnsi="sans-serif"/>
          <w:b w:val="false"/>
          <w:color w:val="000000"/>
          <w:sz w:val="20"/>
        </w:rPr>
        <w:t>). The Company’s shareholders were asked to vote on two proposals, each as more fully described in the Company’s Definitive Proxy Statement filed with the Securities and Exchange Commission on April 23, 2026: (1) to elect ten director nominees to the Board to serve until the 2027 Annual Meeting of Shareholders and until their respective successors are duly elected and qualified or their earlier death, resignation, disqualification or removal; and (2) to ratify the appointment of Deloitte &amp; Touche LLP as the Company’s independent registered public accounting firm for the fiscal year ending December 31, 2026.</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As of the close of business on the record date of April 9, 2026, there were 282,662,545 shares of the Company’s common stock issued, outstanding and eligible to vote if represented in person or by proxy at the 2026 Annual Meeting. A total of 273,714,520 shares were represented at the 2026 Annual Meeting, which constituted a quorum.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shareholder voting results by proposal are set forth in the tables below: </w:t>
      </w:r>
    </w:p>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Proposal No. 1: Election of Directors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Each of the following director nominees was elected to serve for a term expiring at the 2027 Annual Meeting by the votes set forth in the table below.</w:t>
      </w:r>
    </w:p>
    <w:tbl>
      <w:tblPr>
        <w:tblW w:w="8195" w:type="dxa"/>
        <w:jc w:val="left"/>
        <w:tblInd w:w="0" w:type="dxa"/>
        <w:tblLayout w:type="fixed"/>
        <w:tblCellMar>
          <w:top w:w="28" w:type="dxa"/>
          <w:left w:w="28" w:type="dxa"/>
          <w:bottom w:w="28" w:type="dxa"/>
          <w:right w:w="28" w:type="dxa"/>
        </w:tblCellMar>
      </w:tblPr>
      <w:tblGrid>
        <w:gridCol w:w="737"/>
        <w:gridCol w:w="647"/>
        <w:gridCol w:w="655"/>
        <w:gridCol w:w="109"/>
        <w:gridCol w:w="109"/>
        <w:gridCol w:w="109"/>
        <w:gridCol w:w="434"/>
        <w:gridCol w:w="434"/>
        <w:gridCol w:w="438"/>
        <w:gridCol w:w="109"/>
        <w:gridCol w:w="109"/>
        <w:gridCol w:w="109"/>
        <w:gridCol w:w="589"/>
        <w:gridCol w:w="589"/>
        <w:gridCol w:w="591"/>
        <w:gridCol w:w="109"/>
        <w:gridCol w:w="109"/>
        <w:gridCol w:w="109"/>
        <w:gridCol w:w="615"/>
        <w:gridCol w:w="615"/>
        <w:gridCol w:w="870"/>
      </w:tblGrid>
      <w:tr>
        <w:trPr/>
        <w:tc>
          <w:tcPr>
            <w:tcW w:w="73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Votes 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Broker Non-Votes</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David Dean Halbert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216,983,424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45,644,070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11,087,026</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Brian J. Brille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216,953,607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45,673,887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11,087,026</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Peter M. Castleman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200,435,909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62,191,585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11,087,026</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David Fredrickson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228,579,061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34,048,433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11,087,026</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Joseph E. Gilliam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215,798,279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46,829,215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11,087,026</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Jon S. Halbert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215,600,787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47,026,707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11,087,026</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Laura I. Johansen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227,201,421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35,426,073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11,087,026</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Dr. Lloyd B. Minor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228,662,425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33,965,069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11,087,026</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Danny Phillips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214,817,153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47,810,341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11,087,026</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Dr. Jeffrey Vacirca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228,673,484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33,954,010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11,087,026</w:t>
            </w:r>
          </w:p>
        </w:tc>
      </w:tr>
    </w:tbl>
    <w:p>
      <w:pPr>
        <w:pStyle w:val="TextBody"/>
        <w:bidi w:val="0"/>
        <w:spacing w:lineRule="auto" w:line="288" w:before="0" w:after="200"/>
        <w:jc w:val="left"/>
        <w:rPr>
          <w:rFonts w:ascii="sans-serif" w:hAnsi="sans-serif"/>
          <w:b/>
          <w:color w:val="000000"/>
          <w:sz w:val="20"/>
        </w:rPr>
      </w:pPr>
      <w:r>
        <w:rPr>
          <w:rFonts w:ascii="sans-serif" w:hAnsi="sans-serif"/>
          <w:b/>
          <w:color w:val="000000"/>
          <w:sz w:val="20"/>
        </w:rPr>
        <w:t>Proposal No. 2: Ratification of Appointment of Independent Registered Public Accounting Firm</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selection of Deloitte &amp; Touche LLP as the Company’s independent registered public accounting firm for the fiscal year ending December 31, 2026 was ratified by the shareholders by the votes set forth in the table below.</w:t>
      </w:r>
    </w:p>
    <w:tbl>
      <w:tblPr>
        <w:tblW w:w="5065" w:type="dxa"/>
        <w:jc w:val="left"/>
        <w:tblInd w:w="0" w:type="dxa"/>
        <w:tblLayout w:type="fixed"/>
        <w:tblCellMar>
          <w:top w:w="28" w:type="dxa"/>
          <w:left w:w="28" w:type="dxa"/>
          <w:bottom w:w="28" w:type="dxa"/>
          <w:right w:w="28" w:type="dxa"/>
        </w:tblCellMar>
      </w:tblPr>
      <w:tblGrid>
        <w:gridCol w:w="478"/>
        <w:gridCol w:w="420"/>
        <w:gridCol w:w="423"/>
        <w:gridCol w:w="109"/>
        <w:gridCol w:w="109"/>
        <w:gridCol w:w="109"/>
        <w:gridCol w:w="544"/>
        <w:gridCol w:w="544"/>
        <w:gridCol w:w="546"/>
        <w:gridCol w:w="109"/>
        <w:gridCol w:w="109"/>
        <w:gridCol w:w="109"/>
        <w:gridCol w:w="426"/>
        <w:gridCol w:w="426"/>
        <w:gridCol w:w="604"/>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Abstentions</w:t>
            </w:r>
          </w:p>
        </w:tc>
      </w:tr>
      <w:tr>
        <w:trPr/>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273,517,324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60,882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136,314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center"/>
        <w:rPr>
          <w:rFonts w:ascii="sans-serif" w:hAnsi="sans-serif"/>
          <w:b/>
          <w:color w:val="000000"/>
          <w:sz w:val="20"/>
        </w:rPr>
      </w:pPr>
      <w:r>
        <w:rPr>
          <w:rFonts w:ascii="sans-serif" w:hAnsi="sans-serif"/>
          <w:b/>
          <w:color w:val="000000"/>
          <w:sz w:val="20"/>
        </w:rPr>
        <w:t>SIGNATURES</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Pursuant to the requirements of the Securities Exchange Act of 1934, the registrant has duly caused this report to be signed on its behalf by the undersigned hereunto duly authorized.</w:t>
      </w:r>
    </w:p>
    <w:tbl>
      <w:tblPr>
        <w:tblW w:w="10205" w:type="dxa"/>
        <w:jc w:val="left"/>
        <w:tblInd w:w="0" w:type="dxa"/>
        <w:tblLayout w:type="fixed"/>
        <w:tblCellMar>
          <w:top w:w="28" w:type="dxa"/>
          <w:left w:w="28" w:type="dxa"/>
          <w:bottom w:w="28" w:type="dxa"/>
          <w:right w:w="28" w:type="dxa"/>
        </w:tblCellMar>
      </w:tblPr>
      <w:tblGrid>
        <w:gridCol w:w="663"/>
        <w:gridCol w:w="580"/>
        <w:gridCol w:w="586"/>
        <w:gridCol w:w="473"/>
        <w:gridCol w:w="468"/>
        <w:gridCol w:w="468"/>
        <w:gridCol w:w="2035"/>
        <w:gridCol w:w="2034"/>
        <w:gridCol w:w="2898"/>
      </w:tblGrid>
      <w:tr>
        <w:trPr/>
        <w:tc>
          <w:tcPr>
            <w:tcW w:w="66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Date: June 5, 2026</w:t>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CARIS LIFE SCIENCES, INC.</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By:</w:t>
            </w:r>
          </w:p>
        </w:tc>
        <w:tc>
          <w:tcPr>
            <w:tcW w:w="69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 Luke Power</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Name:</w:t>
            </w:r>
          </w:p>
        </w:tc>
        <w:tc>
          <w:tcPr>
            <w:tcW w:w="6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Luke Power</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Title:</w:t>
            </w:r>
          </w:p>
        </w:tc>
        <w:tc>
          <w:tcPr>
            <w:tcW w:w="69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Senior Vice President, Chief Financial Officer and Chief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720</Words>
  <Characters>4064</Characters>
  <CharactersWithSpaces>4677</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